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888F8" w14:textId="77777777" w:rsidR="00856CAB" w:rsidRPr="004B63EC" w:rsidRDefault="00856CAB" w:rsidP="009A6EA4">
      <w:pPr>
        <w:rPr>
          <w:rFonts w:cs="Times New Roman"/>
          <w:szCs w:val="24"/>
        </w:rPr>
      </w:pPr>
      <w:r w:rsidRPr="004B63EC">
        <w:rPr>
          <w:rFonts w:cs="Times New Roman"/>
          <w:szCs w:val="24"/>
        </w:rPr>
        <w:t>May 18, 2020</w:t>
      </w:r>
    </w:p>
    <w:p w14:paraId="32CFE809" w14:textId="77777777" w:rsidR="00856CAB" w:rsidRPr="004B63EC" w:rsidRDefault="00856CAB" w:rsidP="009A6EA4">
      <w:pPr>
        <w:rPr>
          <w:rFonts w:cs="Times New Roman"/>
          <w:szCs w:val="24"/>
        </w:rPr>
      </w:pPr>
    </w:p>
    <w:p w14:paraId="41AC5B3E" w14:textId="49BB559B" w:rsidR="00856CAB" w:rsidRPr="004B63EC" w:rsidRDefault="00856CAB" w:rsidP="009A6EA4">
      <w:pPr>
        <w:rPr>
          <w:rFonts w:cs="Times New Roman"/>
          <w:szCs w:val="24"/>
        </w:rPr>
      </w:pPr>
      <w:r w:rsidRPr="004B63EC">
        <w:rPr>
          <w:rFonts w:cs="Times New Roman"/>
          <w:szCs w:val="24"/>
        </w:rPr>
        <w:t>Dear Friends/Colleagues:</w:t>
      </w:r>
    </w:p>
    <w:p w14:paraId="3FA4CAFE" w14:textId="77777777" w:rsidR="00856CAB" w:rsidRPr="004B63EC" w:rsidRDefault="00856CAB" w:rsidP="009A6EA4">
      <w:pPr>
        <w:rPr>
          <w:rFonts w:cs="Times New Roman"/>
          <w:szCs w:val="24"/>
        </w:rPr>
      </w:pPr>
    </w:p>
    <w:p w14:paraId="46F6E6C3" w14:textId="40C155A6" w:rsidR="009A6EA4" w:rsidRPr="004B63EC" w:rsidRDefault="0041719B" w:rsidP="009A6EA4">
      <w:pPr>
        <w:rPr>
          <w:rFonts w:cs="Times New Roman"/>
          <w:szCs w:val="24"/>
        </w:rPr>
      </w:pPr>
      <w:r w:rsidRPr="004B63EC">
        <w:rPr>
          <w:rFonts w:cs="Times New Roman"/>
          <w:szCs w:val="24"/>
        </w:rPr>
        <w:tab/>
      </w:r>
      <w:r w:rsidR="009A6EA4" w:rsidRPr="004B63EC">
        <w:rPr>
          <w:rFonts w:cs="Times New Roman"/>
          <w:szCs w:val="24"/>
        </w:rPr>
        <w:t xml:space="preserve">We are looking for prospective paper (chapter) writers </w:t>
      </w:r>
      <w:r w:rsidR="00FA79C4">
        <w:rPr>
          <w:rFonts w:cs="Times New Roman"/>
          <w:szCs w:val="24"/>
        </w:rPr>
        <w:t xml:space="preserve">interested in researching efforts, both successful and failed, to construct regional governance processes and institutions in an international </w:t>
      </w:r>
      <w:r w:rsidR="009A6EA4" w:rsidRPr="004B63EC">
        <w:rPr>
          <w:rFonts w:cs="Times New Roman"/>
          <w:szCs w:val="24"/>
        </w:rPr>
        <w:t>issue arena</w:t>
      </w:r>
      <w:r w:rsidR="00FA79C4">
        <w:rPr>
          <w:rFonts w:cs="Times New Roman"/>
          <w:szCs w:val="24"/>
        </w:rPr>
        <w:t>,</w:t>
      </w:r>
      <w:r w:rsidR="009A6EA4" w:rsidRPr="004B63EC">
        <w:rPr>
          <w:rFonts w:cs="Times New Roman"/>
          <w:szCs w:val="24"/>
        </w:rPr>
        <w:t xml:space="preserve"> and then </w:t>
      </w:r>
      <w:r w:rsidR="00FA79C4">
        <w:rPr>
          <w:rFonts w:cs="Times New Roman"/>
          <w:szCs w:val="24"/>
        </w:rPr>
        <w:t xml:space="preserve">to </w:t>
      </w:r>
      <w:r w:rsidR="009A6EA4" w:rsidRPr="004B63EC">
        <w:rPr>
          <w:rFonts w:cs="Times New Roman"/>
          <w:szCs w:val="24"/>
        </w:rPr>
        <w:t>write about it within the broad guidelin</w:t>
      </w:r>
      <w:r w:rsidR="00856CAB" w:rsidRPr="004B63EC">
        <w:rPr>
          <w:rFonts w:cs="Times New Roman"/>
          <w:szCs w:val="24"/>
        </w:rPr>
        <w:t>es of the collaborative project described below,</w:t>
      </w:r>
      <w:r w:rsidR="009A6EA4" w:rsidRPr="004B63EC">
        <w:rPr>
          <w:rFonts w:cs="Times New Roman"/>
          <w:szCs w:val="24"/>
        </w:rPr>
        <w:t xml:space="preserve"> subject to editing by the three of us.</w:t>
      </w:r>
      <w:r w:rsidR="00CF122F" w:rsidRPr="004B63EC">
        <w:rPr>
          <w:rFonts w:cs="Times New Roman"/>
          <w:szCs w:val="24"/>
        </w:rPr>
        <w:t xml:space="preserve"> </w:t>
      </w:r>
      <w:r w:rsidR="00856CAB" w:rsidRPr="004B63EC">
        <w:rPr>
          <w:rFonts w:cs="Times New Roman"/>
          <w:szCs w:val="24"/>
        </w:rPr>
        <w:t xml:space="preserve">We have no funds to offer. The organizers will seek to publish in a venue with good visibility, but make no advance promises with respect to specific outlets. We do promise to see the project </w:t>
      </w:r>
      <w:r w:rsidRPr="004B63EC">
        <w:rPr>
          <w:rFonts w:cs="Times New Roman"/>
          <w:szCs w:val="24"/>
        </w:rPr>
        <w:t xml:space="preserve">through </w:t>
      </w:r>
      <w:r w:rsidR="00856CAB" w:rsidRPr="004B63EC">
        <w:rPr>
          <w:rFonts w:cs="Times New Roman"/>
          <w:szCs w:val="24"/>
        </w:rPr>
        <w:t>to completion and publication.</w:t>
      </w:r>
    </w:p>
    <w:p w14:paraId="04364AF5" w14:textId="77777777" w:rsidR="0041719B" w:rsidRPr="004B63EC" w:rsidRDefault="0041719B" w:rsidP="009A6EA4">
      <w:pPr>
        <w:rPr>
          <w:rFonts w:cs="Times New Roman"/>
          <w:szCs w:val="24"/>
        </w:rPr>
      </w:pPr>
    </w:p>
    <w:p w14:paraId="31E64EE1" w14:textId="6B2D7D42" w:rsidR="0041719B" w:rsidRPr="004B63EC" w:rsidRDefault="0041719B" w:rsidP="009A6EA4">
      <w:pPr>
        <w:rPr>
          <w:rFonts w:cs="Times New Roman"/>
          <w:szCs w:val="24"/>
        </w:rPr>
      </w:pPr>
      <w:r w:rsidRPr="004B63EC">
        <w:rPr>
          <w:rFonts w:cs="Times New Roman"/>
          <w:szCs w:val="24"/>
        </w:rPr>
        <w:tab/>
        <w:t xml:space="preserve">We are soliciting proposals of up to 1000 words, including notes and references, from those who would like to participate. </w:t>
      </w:r>
    </w:p>
    <w:p w14:paraId="08192639" w14:textId="77777777" w:rsidR="0041719B" w:rsidRPr="004B63EC" w:rsidRDefault="0041719B" w:rsidP="009A6EA4">
      <w:pPr>
        <w:rPr>
          <w:rFonts w:cs="Times New Roman"/>
          <w:szCs w:val="24"/>
        </w:rPr>
      </w:pPr>
    </w:p>
    <w:p w14:paraId="47DBFC26" w14:textId="39092B49" w:rsidR="0041719B" w:rsidRPr="004B63EC" w:rsidRDefault="0041719B" w:rsidP="009A6EA4">
      <w:pPr>
        <w:rPr>
          <w:rFonts w:cs="Times New Roman"/>
          <w:szCs w:val="24"/>
        </w:rPr>
      </w:pPr>
      <w:r w:rsidRPr="004B63EC">
        <w:rPr>
          <w:rFonts w:cs="Times New Roman"/>
          <w:szCs w:val="24"/>
        </w:rPr>
        <w:tab/>
        <w:t xml:space="preserve">Proposals are due before Friday, June </w:t>
      </w:r>
      <w:r w:rsidR="00B4019F" w:rsidRPr="004B63EC">
        <w:rPr>
          <w:rFonts w:cs="Times New Roman"/>
          <w:szCs w:val="24"/>
        </w:rPr>
        <w:t xml:space="preserve">19, 2020. Full drafts of the research papers are due September 30, and final versions by January 5, 2021. </w:t>
      </w:r>
    </w:p>
    <w:p w14:paraId="2FCE7460" w14:textId="77777777" w:rsidR="00B4019F" w:rsidRPr="004B63EC" w:rsidRDefault="00B4019F" w:rsidP="009A6EA4">
      <w:pPr>
        <w:rPr>
          <w:rFonts w:cs="Times New Roman"/>
          <w:szCs w:val="24"/>
        </w:rPr>
      </w:pPr>
    </w:p>
    <w:p w14:paraId="1E534D16" w14:textId="029FB3E0" w:rsidR="00B4019F" w:rsidRPr="004B63EC" w:rsidRDefault="00B4019F" w:rsidP="009A6EA4">
      <w:pPr>
        <w:rPr>
          <w:rFonts w:cs="Times New Roman"/>
          <w:szCs w:val="24"/>
        </w:rPr>
      </w:pPr>
      <w:r w:rsidRPr="004B63EC">
        <w:rPr>
          <w:rFonts w:cs="Times New Roman"/>
          <w:szCs w:val="24"/>
        </w:rPr>
        <w:t>Very sincerely yours,</w:t>
      </w:r>
    </w:p>
    <w:p w14:paraId="43C4403D" w14:textId="77777777" w:rsidR="00B4019F" w:rsidRPr="004B63EC" w:rsidRDefault="00B4019F" w:rsidP="009A6EA4">
      <w:pPr>
        <w:rPr>
          <w:rFonts w:cs="Times New Roman"/>
          <w:szCs w:val="24"/>
        </w:rPr>
      </w:pPr>
    </w:p>
    <w:p w14:paraId="5AE12FEA" w14:textId="726B4613" w:rsidR="00B4019F" w:rsidRDefault="00B4019F" w:rsidP="009A6EA4">
      <w:pPr>
        <w:rPr>
          <w:rFonts w:cs="Times New Roman"/>
          <w:szCs w:val="24"/>
        </w:rPr>
      </w:pPr>
      <w:r w:rsidRPr="004B63EC">
        <w:rPr>
          <w:rFonts w:cs="Times New Roman"/>
          <w:szCs w:val="24"/>
        </w:rPr>
        <w:t>Leslie Elliott Armijo (Simon Fraser University, Vancouver, Canada)</w:t>
      </w:r>
      <w:r w:rsidR="004B63EC">
        <w:rPr>
          <w:rFonts w:cs="Times New Roman"/>
          <w:szCs w:val="24"/>
        </w:rPr>
        <w:t xml:space="preserve"> </w:t>
      </w:r>
    </w:p>
    <w:p w14:paraId="2884317D" w14:textId="7F4492E8" w:rsidR="004B63EC" w:rsidRDefault="005A3D9F" w:rsidP="009A6EA4">
      <w:pPr>
        <w:rPr>
          <w:rFonts w:cs="Times New Roman"/>
          <w:szCs w:val="24"/>
        </w:rPr>
      </w:pPr>
      <w:hyperlink r:id="rId7" w:history="1">
        <w:r w:rsidR="004B63EC" w:rsidRPr="00D71471">
          <w:rPr>
            <w:rStyle w:val="Hyperlink"/>
            <w:rFonts w:cs="Times New Roman"/>
            <w:szCs w:val="24"/>
          </w:rPr>
          <w:t>leslie.armijo@gmail.com</w:t>
        </w:r>
      </w:hyperlink>
    </w:p>
    <w:p w14:paraId="6A2B1528" w14:textId="77777777" w:rsidR="004B63EC" w:rsidRPr="004B63EC" w:rsidRDefault="004B63EC" w:rsidP="009A6EA4">
      <w:pPr>
        <w:rPr>
          <w:rFonts w:cs="Times New Roman"/>
          <w:szCs w:val="24"/>
        </w:rPr>
      </w:pPr>
    </w:p>
    <w:p w14:paraId="3144FCA9" w14:textId="1A297FFE" w:rsidR="00B4019F" w:rsidRDefault="00B4019F" w:rsidP="009A6EA4">
      <w:pPr>
        <w:rPr>
          <w:rFonts w:cs="Times New Roman"/>
          <w:szCs w:val="24"/>
        </w:rPr>
      </w:pPr>
      <w:r w:rsidRPr="004B63EC">
        <w:rPr>
          <w:rFonts w:cs="Times New Roman"/>
          <w:szCs w:val="24"/>
        </w:rPr>
        <w:t>Sybil Rhodes (UCEMA, Buenos Aires, Argentina)</w:t>
      </w:r>
    </w:p>
    <w:p w14:paraId="691294A4" w14:textId="5044CF74" w:rsidR="008B5BF4" w:rsidRDefault="005A3D9F" w:rsidP="009A6EA4">
      <w:pPr>
        <w:rPr>
          <w:rFonts w:cs="Times New Roman"/>
          <w:szCs w:val="24"/>
        </w:rPr>
      </w:pPr>
      <w:hyperlink r:id="rId8" w:history="1">
        <w:r w:rsidR="006F433B" w:rsidRPr="00D71471">
          <w:rPr>
            <w:rStyle w:val="Hyperlink"/>
            <w:rFonts w:cs="Times New Roman"/>
            <w:szCs w:val="24"/>
          </w:rPr>
          <w:t>srhodes@ucema.edu.ar</w:t>
        </w:r>
      </w:hyperlink>
    </w:p>
    <w:p w14:paraId="2056F203" w14:textId="77777777" w:rsidR="006F433B" w:rsidRPr="004B63EC" w:rsidRDefault="006F433B" w:rsidP="009A6EA4">
      <w:pPr>
        <w:rPr>
          <w:rFonts w:cs="Times New Roman"/>
          <w:szCs w:val="24"/>
        </w:rPr>
      </w:pPr>
    </w:p>
    <w:p w14:paraId="77CEDD89" w14:textId="20D7AA17" w:rsidR="005905C4" w:rsidRDefault="00B4019F" w:rsidP="009A6EA4">
      <w:pPr>
        <w:rPr>
          <w:rFonts w:cs="Times New Roman"/>
          <w:szCs w:val="24"/>
        </w:rPr>
      </w:pPr>
      <w:r w:rsidRPr="004B63EC">
        <w:rPr>
          <w:rFonts w:cs="Times New Roman"/>
          <w:szCs w:val="24"/>
        </w:rPr>
        <w:t xml:space="preserve">Markus </w:t>
      </w:r>
      <w:proofErr w:type="spellStart"/>
      <w:r w:rsidRPr="004B63EC">
        <w:rPr>
          <w:rFonts w:cs="Times New Roman"/>
          <w:szCs w:val="24"/>
        </w:rPr>
        <w:t>Fraundorfer</w:t>
      </w:r>
      <w:proofErr w:type="spellEnd"/>
      <w:r w:rsidRPr="004B63EC">
        <w:rPr>
          <w:rFonts w:cs="Times New Roman"/>
          <w:szCs w:val="24"/>
        </w:rPr>
        <w:t xml:space="preserve"> (University of Leeds, UK)</w:t>
      </w:r>
    </w:p>
    <w:p w14:paraId="7AD76DA1" w14:textId="38D47C65" w:rsidR="006F433B" w:rsidRDefault="005A3D9F" w:rsidP="009A6EA4">
      <w:pPr>
        <w:rPr>
          <w:rFonts w:cs="Times New Roman"/>
          <w:szCs w:val="24"/>
        </w:rPr>
      </w:pPr>
      <w:hyperlink r:id="rId9" w:history="1">
        <w:r w:rsidR="006F433B" w:rsidRPr="00D71471">
          <w:rPr>
            <w:rStyle w:val="Hyperlink"/>
            <w:rFonts w:cs="Times New Roman"/>
            <w:szCs w:val="24"/>
          </w:rPr>
          <w:t>m.fraundorfer@leeds.ac.uk</w:t>
        </w:r>
      </w:hyperlink>
    </w:p>
    <w:p w14:paraId="39FA4BFA" w14:textId="77777777" w:rsidR="006F433B" w:rsidRPr="004B63EC" w:rsidRDefault="006F433B" w:rsidP="009A6EA4">
      <w:pPr>
        <w:rPr>
          <w:rFonts w:cs="Times New Roman"/>
          <w:szCs w:val="24"/>
        </w:rPr>
      </w:pPr>
    </w:p>
    <w:p w14:paraId="5615B77F" w14:textId="77777777" w:rsidR="009A6EA4" w:rsidRPr="004B63EC" w:rsidRDefault="009A6EA4" w:rsidP="001449BB">
      <w:pPr>
        <w:jc w:val="center"/>
        <w:rPr>
          <w:rFonts w:cs="Times New Roman"/>
          <w:b/>
          <w:szCs w:val="24"/>
        </w:rPr>
      </w:pPr>
    </w:p>
    <w:p w14:paraId="0CA5055B" w14:textId="77777777" w:rsidR="00B4019F" w:rsidRDefault="00B4019F" w:rsidP="001449BB">
      <w:pPr>
        <w:jc w:val="center"/>
        <w:rPr>
          <w:rFonts w:cs="Times New Roman"/>
          <w:b/>
          <w:szCs w:val="24"/>
        </w:rPr>
      </w:pPr>
    </w:p>
    <w:p w14:paraId="4DC20A20" w14:textId="77777777" w:rsidR="00CC6DA4" w:rsidRDefault="00CC6DA4" w:rsidP="001449BB">
      <w:pPr>
        <w:jc w:val="center"/>
        <w:rPr>
          <w:rFonts w:cs="Times New Roman"/>
          <w:b/>
          <w:szCs w:val="24"/>
        </w:rPr>
      </w:pPr>
    </w:p>
    <w:p w14:paraId="280B5B2C" w14:textId="77777777" w:rsidR="00CC6DA4" w:rsidRPr="004B63EC" w:rsidRDefault="00CC6DA4" w:rsidP="001449BB">
      <w:pPr>
        <w:jc w:val="center"/>
        <w:rPr>
          <w:rFonts w:cs="Times New Roman"/>
          <w:b/>
          <w:szCs w:val="24"/>
        </w:rPr>
      </w:pPr>
    </w:p>
    <w:p w14:paraId="5CE7BDFA" w14:textId="77777777" w:rsidR="00B4019F" w:rsidRPr="004B63EC" w:rsidRDefault="00B4019F" w:rsidP="001449BB">
      <w:pPr>
        <w:jc w:val="center"/>
        <w:rPr>
          <w:rFonts w:cs="Times New Roman"/>
          <w:b/>
          <w:szCs w:val="24"/>
        </w:rPr>
      </w:pPr>
    </w:p>
    <w:p w14:paraId="416FFA55" w14:textId="45BC1B8C" w:rsidR="00B4019F" w:rsidRPr="004B63EC" w:rsidRDefault="00B4019F" w:rsidP="001449BB">
      <w:pPr>
        <w:jc w:val="center"/>
        <w:rPr>
          <w:rFonts w:cs="Times New Roman"/>
          <w:b/>
          <w:szCs w:val="24"/>
        </w:rPr>
      </w:pPr>
      <w:r w:rsidRPr="004B63EC">
        <w:rPr>
          <w:rFonts w:cs="Times New Roman"/>
          <w:b/>
          <w:szCs w:val="24"/>
        </w:rPr>
        <w:t>REQUEST FOR PROPOSALS</w:t>
      </w:r>
    </w:p>
    <w:p w14:paraId="2F616067" w14:textId="77777777" w:rsidR="00B4019F" w:rsidRPr="004B63EC" w:rsidRDefault="00B4019F" w:rsidP="001449BB">
      <w:pPr>
        <w:jc w:val="center"/>
        <w:rPr>
          <w:rFonts w:cs="Times New Roman"/>
          <w:b/>
          <w:szCs w:val="24"/>
        </w:rPr>
      </w:pPr>
    </w:p>
    <w:p w14:paraId="1A2D5E2D" w14:textId="459254BF" w:rsidR="001E2A57" w:rsidRPr="004B63EC" w:rsidRDefault="00D27B23" w:rsidP="001449BB">
      <w:pPr>
        <w:jc w:val="center"/>
        <w:rPr>
          <w:rFonts w:cs="Times New Roman"/>
          <w:b/>
          <w:szCs w:val="24"/>
        </w:rPr>
      </w:pPr>
      <w:r w:rsidRPr="004B63EC">
        <w:rPr>
          <w:rFonts w:cs="Times New Roman"/>
          <w:b/>
          <w:szCs w:val="24"/>
        </w:rPr>
        <w:t>Policy Regiona</w:t>
      </w:r>
      <w:r w:rsidR="00581EAE" w:rsidRPr="004B63EC">
        <w:rPr>
          <w:rFonts w:cs="Times New Roman"/>
          <w:b/>
          <w:szCs w:val="24"/>
        </w:rPr>
        <w:t xml:space="preserve">lism </w:t>
      </w:r>
      <w:r w:rsidR="0041719B" w:rsidRPr="004B63EC">
        <w:rPr>
          <w:rFonts w:cs="Times New Roman"/>
          <w:b/>
          <w:szCs w:val="24"/>
        </w:rPr>
        <w:t xml:space="preserve">in </w:t>
      </w:r>
      <w:r w:rsidR="00581EAE" w:rsidRPr="004B63EC">
        <w:rPr>
          <w:rFonts w:cs="Times New Roman"/>
          <w:b/>
          <w:szCs w:val="24"/>
        </w:rPr>
        <w:t xml:space="preserve">South </w:t>
      </w:r>
      <w:r w:rsidR="0041719B" w:rsidRPr="004B63EC">
        <w:rPr>
          <w:rFonts w:cs="Times New Roman"/>
          <w:b/>
          <w:szCs w:val="24"/>
        </w:rPr>
        <w:t>America: Drivers and Barriers</w:t>
      </w:r>
    </w:p>
    <w:p w14:paraId="5982B26C" w14:textId="77777777" w:rsidR="00BF2688" w:rsidRPr="004B63EC" w:rsidRDefault="00BF2688" w:rsidP="001449BB">
      <w:pPr>
        <w:jc w:val="center"/>
        <w:rPr>
          <w:rFonts w:cs="Times New Roman"/>
          <w:b/>
          <w:szCs w:val="24"/>
        </w:rPr>
      </w:pPr>
    </w:p>
    <w:p w14:paraId="361342B4" w14:textId="1FA0FB45" w:rsidR="007D12BF" w:rsidRPr="004B63EC" w:rsidRDefault="001449BB" w:rsidP="007D12BF">
      <w:pPr>
        <w:autoSpaceDE w:val="0"/>
        <w:autoSpaceDN w:val="0"/>
        <w:adjustRightInd w:val="0"/>
        <w:rPr>
          <w:rFonts w:cs="Times New Roman"/>
          <w:szCs w:val="24"/>
        </w:rPr>
      </w:pPr>
      <w:r w:rsidRPr="004B63EC">
        <w:rPr>
          <w:rFonts w:cs="Times New Roman"/>
          <w:szCs w:val="24"/>
        </w:rPr>
        <w:tab/>
      </w:r>
      <w:r w:rsidR="00B93421" w:rsidRPr="004B63EC">
        <w:rPr>
          <w:rFonts w:cs="Times New Roman"/>
          <w:szCs w:val="24"/>
        </w:rPr>
        <w:t>There is much contemporary discussion about the difficulties of global cooperation</w:t>
      </w:r>
      <w:r w:rsidR="00FA7116" w:rsidRPr="004B63EC">
        <w:rPr>
          <w:rFonts w:cs="Times New Roman"/>
          <w:szCs w:val="24"/>
        </w:rPr>
        <w:t xml:space="preserve"> to provide international public goods</w:t>
      </w:r>
      <w:r w:rsidR="006135D7" w:rsidRPr="004B63EC">
        <w:rPr>
          <w:rFonts w:cs="Times New Roman"/>
          <w:szCs w:val="24"/>
        </w:rPr>
        <w:t xml:space="preserve">, especially in a world in which tensions from multiple sources, </w:t>
      </w:r>
      <w:r w:rsidR="004903F4" w:rsidRPr="004B63EC">
        <w:rPr>
          <w:rFonts w:cs="Times New Roman"/>
          <w:szCs w:val="24"/>
        </w:rPr>
        <w:t xml:space="preserve">as of early 2020 prominently </w:t>
      </w:r>
      <w:r w:rsidR="006135D7" w:rsidRPr="004B63EC">
        <w:rPr>
          <w:rFonts w:cs="Times New Roman"/>
          <w:szCs w:val="24"/>
        </w:rPr>
        <w:t xml:space="preserve">including the Covid-19 pandemic, have deepened the wedge between the United States and China. </w:t>
      </w:r>
      <w:r w:rsidR="004903F4" w:rsidRPr="004B63EC">
        <w:rPr>
          <w:rFonts w:cs="Times New Roman"/>
          <w:szCs w:val="24"/>
        </w:rPr>
        <w:t>If global cooperation is too difficult, then r</w:t>
      </w:r>
      <w:r w:rsidR="006135D7" w:rsidRPr="004B63EC">
        <w:rPr>
          <w:rFonts w:cs="Times New Roman"/>
          <w:szCs w:val="24"/>
        </w:rPr>
        <w:t xml:space="preserve">egional cooperation to provide collective public goods seems a viable second-best solution. </w:t>
      </w:r>
      <w:r w:rsidR="00633EAE" w:rsidRPr="004B63EC">
        <w:rPr>
          <w:rFonts w:cs="Times New Roman"/>
          <w:szCs w:val="24"/>
        </w:rPr>
        <w:t xml:space="preserve">Regional cooperation might also be a stepping stone toward global cooperation. Alternatively, some propose regionalism as an antidote </w:t>
      </w:r>
      <w:r w:rsidR="000A575D" w:rsidRPr="004B63EC">
        <w:rPr>
          <w:rFonts w:cs="Times New Roman"/>
          <w:szCs w:val="24"/>
        </w:rPr>
        <w:t xml:space="preserve">to the perceived evils of excessive economic globalization (Cooper, Hughes, and de </w:t>
      </w:r>
      <w:proofErr w:type="spellStart"/>
      <w:r w:rsidR="000A575D" w:rsidRPr="004B63EC">
        <w:rPr>
          <w:rFonts w:cs="Times New Roman"/>
          <w:szCs w:val="24"/>
        </w:rPr>
        <w:t>Lombaerde</w:t>
      </w:r>
      <w:proofErr w:type="spellEnd"/>
      <w:r w:rsidR="000A575D" w:rsidRPr="004B63EC">
        <w:rPr>
          <w:rFonts w:cs="Times New Roman"/>
          <w:szCs w:val="24"/>
        </w:rPr>
        <w:t xml:space="preserve"> 2007)</w:t>
      </w:r>
      <w:r w:rsidR="00633EAE" w:rsidRPr="004B63EC">
        <w:rPr>
          <w:rFonts w:cs="Times New Roman"/>
          <w:szCs w:val="24"/>
        </w:rPr>
        <w:t>.</w:t>
      </w:r>
      <w:r w:rsidR="00AC16EB" w:rsidRPr="004B63EC">
        <w:rPr>
          <w:rFonts w:cs="Times New Roman"/>
          <w:szCs w:val="24"/>
        </w:rPr>
        <w:t xml:space="preserve"> </w:t>
      </w:r>
      <w:r w:rsidR="00FC1E3C" w:rsidRPr="004B63EC">
        <w:rPr>
          <w:rFonts w:cs="Times New Roman"/>
          <w:szCs w:val="24"/>
        </w:rPr>
        <w:t xml:space="preserve">Whatever the view, regionalism is now recognized </w:t>
      </w:r>
      <w:r w:rsidR="00FC1E3C" w:rsidRPr="004B63EC">
        <w:rPr>
          <w:rFonts w:cs="Times New Roman"/>
          <w:szCs w:val="24"/>
        </w:rPr>
        <w:lastRenderedPageBreak/>
        <w:t>as</w:t>
      </w:r>
      <w:r w:rsidR="00AC16EB" w:rsidRPr="004B63EC">
        <w:rPr>
          <w:rFonts w:cs="Times New Roman"/>
          <w:szCs w:val="24"/>
        </w:rPr>
        <w:t xml:space="preserve"> relevant to</w:t>
      </w:r>
      <w:r w:rsidR="00FC1E3C" w:rsidRPr="004B63EC">
        <w:rPr>
          <w:rFonts w:cs="Times New Roman"/>
          <w:szCs w:val="24"/>
        </w:rPr>
        <w:t xml:space="preserve"> the full gamut of </w:t>
      </w:r>
      <w:r w:rsidR="00633EAE" w:rsidRPr="004B63EC">
        <w:rPr>
          <w:rFonts w:cs="Times New Roman"/>
          <w:szCs w:val="24"/>
        </w:rPr>
        <w:t>global public policy issue arenas</w:t>
      </w:r>
      <w:r w:rsidR="00AC16EB" w:rsidRPr="004B63EC">
        <w:rPr>
          <w:rFonts w:cs="Times New Roman"/>
          <w:szCs w:val="24"/>
        </w:rPr>
        <w:t>.</w:t>
      </w:r>
      <w:r w:rsidR="00FC1E3C" w:rsidRPr="004B63EC">
        <w:rPr>
          <w:rFonts w:cs="Times New Roman"/>
          <w:szCs w:val="24"/>
        </w:rPr>
        <w:t xml:space="preserve"> </w:t>
      </w:r>
      <w:r w:rsidR="007D12BF" w:rsidRPr="004B63EC">
        <w:rPr>
          <w:rFonts w:cs="Times New Roman"/>
          <w:szCs w:val="24"/>
        </w:rPr>
        <w:t xml:space="preserve">This project asks: What do South America’s experiences reveal about the drivers of successful or failed cross-border policy cooperation at the regional level? </w:t>
      </w:r>
    </w:p>
    <w:p w14:paraId="1BF2CEF5" w14:textId="77777777" w:rsidR="007D12BF" w:rsidRPr="004B63EC" w:rsidRDefault="007D12BF" w:rsidP="00BE7DEA">
      <w:pPr>
        <w:autoSpaceDE w:val="0"/>
        <w:autoSpaceDN w:val="0"/>
        <w:adjustRightInd w:val="0"/>
        <w:rPr>
          <w:rFonts w:cs="Times New Roman"/>
          <w:szCs w:val="24"/>
        </w:rPr>
      </w:pPr>
    </w:p>
    <w:p w14:paraId="4CFA3F21" w14:textId="57E6FBFA" w:rsidR="00BE7DEA" w:rsidRPr="004B63EC" w:rsidRDefault="007D12BF" w:rsidP="00BE7DEA">
      <w:pPr>
        <w:autoSpaceDE w:val="0"/>
        <w:autoSpaceDN w:val="0"/>
        <w:adjustRightInd w:val="0"/>
        <w:rPr>
          <w:rFonts w:cs="Times New Roman"/>
          <w:szCs w:val="24"/>
        </w:rPr>
      </w:pPr>
      <w:r w:rsidRPr="004B63EC">
        <w:rPr>
          <w:rFonts w:cs="Times New Roman"/>
          <w:szCs w:val="24"/>
        </w:rPr>
        <w:tab/>
      </w:r>
      <w:r w:rsidR="00D539F3" w:rsidRPr="004B63EC">
        <w:rPr>
          <w:rFonts w:cs="Times New Roman"/>
          <w:szCs w:val="24"/>
        </w:rPr>
        <w:t xml:space="preserve">Regional </w:t>
      </w:r>
      <w:r w:rsidR="006135D7" w:rsidRPr="004B63EC">
        <w:rPr>
          <w:rFonts w:cs="Times New Roman"/>
          <w:szCs w:val="24"/>
        </w:rPr>
        <w:t>collaboration,</w:t>
      </w:r>
      <w:r w:rsidR="00D539F3" w:rsidRPr="004B63EC">
        <w:rPr>
          <w:rFonts w:cs="Times New Roman"/>
          <w:szCs w:val="24"/>
        </w:rPr>
        <w:t xml:space="preserve"> or policy regionalism, encompasses go</w:t>
      </w:r>
      <w:r w:rsidR="009A6EA4" w:rsidRPr="004B63EC">
        <w:rPr>
          <w:rFonts w:cs="Times New Roman"/>
          <w:szCs w:val="24"/>
        </w:rPr>
        <w:t xml:space="preserve">vernance initiatives resulting from cooperation among </w:t>
      </w:r>
      <w:r w:rsidR="00D539F3" w:rsidRPr="004B63EC">
        <w:rPr>
          <w:rFonts w:cs="Times New Roman"/>
          <w:szCs w:val="24"/>
        </w:rPr>
        <w:t>sovereign states (</w:t>
      </w:r>
      <w:r w:rsidR="00D539F3" w:rsidRPr="004B63EC">
        <w:rPr>
          <w:rFonts w:cs="Times New Roman"/>
          <w:i/>
          <w:szCs w:val="24"/>
        </w:rPr>
        <w:t>multilateralism</w:t>
      </w:r>
      <w:r w:rsidR="006C1E5C" w:rsidRPr="004B63EC">
        <w:rPr>
          <w:rFonts w:cs="Times New Roman"/>
          <w:szCs w:val="24"/>
        </w:rPr>
        <w:t>) as well as</w:t>
      </w:r>
      <w:r w:rsidR="00D539F3" w:rsidRPr="004B63EC">
        <w:rPr>
          <w:rFonts w:cs="Times New Roman"/>
          <w:szCs w:val="24"/>
        </w:rPr>
        <w:t xml:space="preserve"> international issue arena governance driven by non-state actors (</w:t>
      </w:r>
      <w:r w:rsidR="00D539F3" w:rsidRPr="004B63EC">
        <w:rPr>
          <w:rFonts w:cs="Times New Roman"/>
          <w:i/>
          <w:szCs w:val="24"/>
        </w:rPr>
        <w:t>transnationalism</w:t>
      </w:r>
      <w:r w:rsidR="00D539F3" w:rsidRPr="004B63EC">
        <w:rPr>
          <w:rFonts w:cs="Times New Roman"/>
          <w:szCs w:val="24"/>
        </w:rPr>
        <w:t>)</w:t>
      </w:r>
      <w:r w:rsidR="00391CE8" w:rsidRPr="004B63EC">
        <w:rPr>
          <w:rFonts w:cs="Times New Roman"/>
          <w:szCs w:val="24"/>
        </w:rPr>
        <w:t xml:space="preserve">. </w:t>
      </w:r>
      <w:r w:rsidR="00D539F3" w:rsidRPr="004B63EC">
        <w:rPr>
          <w:rFonts w:cs="Times New Roman"/>
          <w:szCs w:val="24"/>
        </w:rPr>
        <w:t xml:space="preserve">Transnational actors include sub-national levels of government, civil society and advocacy groups, multinational firms, and a variety of other internationally-involved corporate actors including churches, unions, trade associations, military and law enforcement bureaucracies, </w:t>
      </w:r>
      <w:r w:rsidR="00334E91" w:rsidRPr="004B63EC">
        <w:rPr>
          <w:rFonts w:cs="Times New Roman"/>
          <w:szCs w:val="24"/>
        </w:rPr>
        <w:t xml:space="preserve">philanthropic foundations, </w:t>
      </w:r>
      <w:r w:rsidR="00D539F3" w:rsidRPr="004B63EC">
        <w:rPr>
          <w:rFonts w:cs="Times New Roman"/>
          <w:szCs w:val="24"/>
        </w:rPr>
        <w:t xml:space="preserve">influential news media, </w:t>
      </w:r>
      <w:r w:rsidR="009A6EA4" w:rsidRPr="004B63EC">
        <w:rPr>
          <w:rFonts w:cs="Times New Roman"/>
          <w:szCs w:val="24"/>
        </w:rPr>
        <w:t xml:space="preserve">and </w:t>
      </w:r>
      <w:r w:rsidR="00D539F3" w:rsidRPr="004B63EC">
        <w:rPr>
          <w:rFonts w:cs="Times New Roman"/>
          <w:szCs w:val="24"/>
        </w:rPr>
        <w:t>political parties</w:t>
      </w:r>
      <w:r w:rsidR="009A6EA4" w:rsidRPr="004B63EC">
        <w:rPr>
          <w:rFonts w:cs="Times New Roman"/>
          <w:szCs w:val="24"/>
        </w:rPr>
        <w:t>. I</w:t>
      </w:r>
      <w:r w:rsidR="00D539F3" w:rsidRPr="004B63EC">
        <w:rPr>
          <w:rFonts w:cs="Times New Roman"/>
          <w:szCs w:val="24"/>
        </w:rPr>
        <w:t xml:space="preserve">nternational governmental organizations (IGOs), such as the </w:t>
      </w:r>
      <w:r w:rsidR="009A6EA4" w:rsidRPr="004B63EC">
        <w:rPr>
          <w:rFonts w:cs="Times New Roman"/>
          <w:szCs w:val="24"/>
        </w:rPr>
        <w:t>International Monetary Fund (</w:t>
      </w:r>
      <w:r w:rsidR="00D539F3" w:rsidRPr="004B63EC">
        <w:rPr>
          <w:rFonts w:cs="Times New Roman"/>
          <w:szCs w:val="24"/>
        </w:rPr>
        <w:t>IMF</w:t>
      </w:r>
      <w:r w:rsidR="009A6EA4" w:rsidRPr="004B63EC">
        <w:rPr>
          <w:rFonts w:cs="Times New Roman"/>
          <w:szCs w:val="24"/>
        </w:rPr>
        <w:t>)</w:t>
      </w:r>
      <w:r w:rsidR="00D539F3" w:rsidRPr="004B63EC">
        <w:rPr>
          <w:rFonts w:cs="Times New Roman"/>
          <w:szCs w:val="24"/>
        </w:rPr>
        <w:t xml:space="preserve"> or </w:t>
      </w:r>
      <w:r w:rsidR="009A6EA4" w:rsidRPr="004B63EC">
        <w:rPr>
          <w:rFonts w:cs="Times New Roman"/>
          <w:szCs w:val="24"/>
        </w:rPr>
        <w:t>World Health Organization (</w:t>
      </w:r>
      <w:r w:rsidR="00D539F3" w:rsidRPr="004B63EC">
        <w:rPr>
          <w:rFonts w:cs="Times New Roman"/>
          <w:szCs w:val="24"/>
        </w:rPr>
        <w:t>WHO</w:t>
      </w:r>
      <w:r w:rsidR="009A6EA4" w:rsidRPr="004B63EC">
        <w:rPr>
          <w:rFonts w:cs="Times New Roman"/>
          <w:szCs w:val="24"/>
        </w:rPr>
        <w:t>)</w:t>
      </w:r>
      <w:r w:rsidR="00D539F3" w:rsidRPr="004B63EC">
        <w:rPr>
          <w:rFonts w:cs="Times New Roman"/>
          <w:szCs w:val="24"/>
        </w:rPr>
        <w:t xml:space="preserve">, </w:t>
      </w:r>
      <w:r w:rsidR="005905C4" w:rsidRPr="004B63EC">
        <w:rPr>
          <w:rFonts w:cs="Times New Roman"/>
          <w:szCs w:val="24"/>
        </w:rPr>
        <w:t xml:space="preserve">are </w:t>
      </w:r>
      <w:r w:rsidR="00D539F3" w:rsidRPr="004B63EC">
        <w:rPr>
          <w:rFonts w:cs="Times New Roman"/>
          <w:szCs w:val="24"/>
        </w:rPr>
        <w:t>simultaneously venues for multilateral interactions and transnational actors with independent agency.</w:t>
      </w:r>
      <w:r w:rsidR="00BE7DEA" w:rsidRPr="004B63EC">
        <w:rPr>
          <w:rFonts w:cs="Times New Roman"/>
          <w:szCs w:val="24"/>
        </w:rPr>
        <w:t xml:space="preserve"> </w:t>
      </w:r>
      <w:r w:rsidR="003C6B6D" w:rsidRPr="004B63EC">
        <w:rPr>
          <w:rFonts w:cs="Times New Roman"/>
          <w:szCs w:val="24"/>
        </w:rPr>
        <w:t xml:space="preserve">Much of existing theory on </w:t>
      </w:r>
      <w:r w:rsidR="00BE7DEA" w:rsidRPr="004B63EC">
        <w:rPr>
          <w:rFonts w:cs="Times New Roman"/>
          <w:szCs w:val="24"/>
        </w:rPr>
        <w:t xml:space="preserve">both multilateral and transnational </w:t>
      </w:r>
      <w:r w:rsidR="00D539F3" w:rsidRPr="004B63EC">
        <w:rPr>
          <w:rFonts w:cs="Times New Roman"/>
          <w:szCs w:val="24"/>
        </w:rPr>
        <w:t>regional cooperation derives from studies of Western Europe, esp</w:t>
      </w:r>
      <w:r w:rsidR="006A730D" w:rsidRPr="004B63EC">
        <w:rPr>
          <w:rFonts w:cs="Times New Roman"/>
          <w:szCs w:val="24"/>
        </w:rPr>
        <w:t xml:space="preserve">ecially the European Union (for example, </w:t>
      </w:r>
      <w:proofErr w:type="spellStart"/>
      <w:r w:rsidR="009547A8" w:rsidRPr="004B63EC">
        <w:rPr>
          <w:rFonts w:cs="Times New Roman"/>
          <w:szCs w:val="24"/>
        </w:rPr>
        <w:t>Borzel</w:t>
      </w:r>
      <w:proofErr w:type="spellEnd"/>
      <w:r w:rsidR="009547A8" w:rsidRPr="004B63EC">
        <w:rPr>
          <w:rFonts w:cs="Times New Roman"/>
          <w:szCs w:val="24"/>
        </w:rPr>
        <w:t xml:space="preserve"> and </w:t>
      </w:r>
      <w:proofErr w:type="spellStart"/>
      <w:r w:rsidR="009547A8" w:rsidRPr="004B63EC">
        <w:rPr>
          <w:rFonts w:cs="Times New Roman"/>
          <w:szCs w:val="24"/>
        </w:rPr>
        <w:t>Riesse</w:t>
      </w:r>
      <w:proofErr w:type="spellEnd"/>
      <w:r w:rsidR="009547A8" w:rsidRPr="004B63EC">
        <w:rPr>
          <w:rFonts w:cs="Times New Roman"/>
          <w:szCs w:val="24"/>
        </w:rPr>
        <w:t xml:space="preserve"> 2012</w:t>
      </w:r>
      <w:r w:rsidR="005905C4" w:rsidRPr="004B63EC">
        <w:rPr>
          <w:rFonts w:cs="Times New Roman"/>
          <w:szCs w:val="24"/>
        </w:rPr>
        <w:t>;</w:t>
      </w:r>
      <w:r w:rsidR="00C32B5D" w:rsidRPr="004B63EC">
        <w:rPr>
          <w:rFonts w:cs="Times New Roman"/>
          <w:szCs w:val="24"/>
        </w:rPr>
        <w:t xml:space="preserve"> Wiener and </w:t>
      </w:r>
      <w:proofErr w:type="spellStart"/>
      <w:r w:rsidR="00C32B5D" w:rsidRPr="004B63EC">
        <w:rPr>
          <w:rFonts w:cs="Times New Roman"/>
          <w:szCs w:val="24"/>
        </w:rPr>
        <w:t>Diez</w:t>
      </w:r>
      <w:proofErr w:type="spellEnd"/>
      <w:r w:rsidR="00C32B5D" w:rsidRPr="004B63EC">
        <w:rPr>
          <w:rFonts w:cs="Times New Roman"/>
          <w:szCs w:val="24"/>
        </w:rPr>
        <w:t xml:space="preserve"> 2009</w:t>
      </w:r>
      <w:r w:rsidR="00D539F3" w:rsidRPr="004B63EC">
        <w:rPr>
          <w:rFonts w:cs="Times New Roman"/>
          <w:szCs w:val="24"/>
        </w:rPr>
        <w:t xml:space="preserve">). A smaller, yet expanding scholarly corpus takes </w:t>
      </w:r>
      <w:proofErr w:type="gramStart"/>
      <w:r w:rsidR="00D539F3" w:rsidRPr="004B63EC">
        <w:rPr>
          <w:rFonts w:cs="Times New Roman"/>
          <w:szCs w:val="24"/>
        </w:rPr>
        <w:t>East</w:t>
      </w:r>
      <w:proofErr w:type="gramEnd"/>
      <w:r w:rsidR="00D539F3" w:rsidRPr="004B63EC">
        <w:rPr>
          <w:rFonts w:cs="Times New Roman"/>
          <w:szCs w:val="24"/>
        </w:rPr>
        <w:t>, especially Southeast,</w:t>
      </w:r>
      <w:r w:rsidR="00BD087C" w:rsidRPr="004B63EC">
        <w:rPr>
          <w:rFonts w:cs="Times New Roman"/>
          <w:szCs w:val="24"/>
        </w:rPr>
        <w:t xml:space="preserve"> Asia as its primary focus (</w:t>
      </w:r>
      <w:proofErr w:type="spellStart"/>
      <w:r w:rsidR="00BD087C" w:rsidRPr="004B63EC">
        <w:rPr>
          <w:rFonts w:cs="Times New Roman"/>
          <w:szCs w:val="24"/>
        </w:rPr>
        <w:t>Katzenstein</w:t>
      </w:r>
      <w:proofErr w:type="spellEnd"/>
      <w:r w:rsidR="00BD087C" w:rsidRPr="004B63EC">
        <w:rPr>
          <w:rFonts w:cs="Times New Roman"/>
          <w:szCs w:val="24"/>
        </w:rPr>
        <w:t xml:space="preserve"> 2005; </w:t>
      </w:r>
      <w:proofErr w:type="spellStart"/>
      <w:r w:rsidR="00BD087C" w:rsidRPr="004B63EC">
        <w:rPr>
          <w:rFonts w:cs="Times New Roman"/>
          <w:szCs w:val="24"/>
        </w:rPr>
        <w:t>Pekkannen</w:t>
      </w:r>
      <w:proofErr w:type="spellEnd"/>
      <w:r w:rsidR="00BD087C" w:rsidRPr="004B63EC">
        <w:rPr>
          <w:rFonts w:cs="Times New Roman"/>
          <w:szCs w:val="24"/>
        </w:rPr>
        <w:t xml:space="preserve"> 2016). L</w:t>
      </w:r>
      <w:r w:rsidR="003C6B6D" w:rsidRPr="004B63EC">
        <w:rPr>
          <w:rFonts w:cs="Times New Roman"/>
          <w:szCs w:val="24"/>
        </w:rPr>
        <w:t>ess has been written about Latin or South</w:t>
      </w:r>
      <w:r w:rsidR="00D539F3" w:rsidRPr="004B63EC">
        <w:rPr>
          <w:rFonts w:cs="Times New Roman"/>
          <w:szCs w:val="24"/>
        </w:rPr>
        <w:t xml:space="preserve"> America</w:t>
      </w:r>
      <w:r w:rsidR="006A0902" w:rsidRPr="004B63EC">
        <w:rPr>
          <w:rFonts w:cs="Times New Roman"/>
          <w:szCs w:val="24"/>
        </w:rPr>
        <w:t>n policy regionalism</w:t>
      </w:r>
      <w:r w:rsidR="00391CE8" w:rsidRPr="004B63EC">
        <w:rPr>
          <w:rFonts w:cs="Times New Roman"/>
          <w:szCs w:val="24"/>
        </w:rPr>
        <w:t xml:space="preserve"> in arenas other than trade</w:t>
      </w:r>
      <w:r w:rsidR="00633EAE" w:rsidRPr="004B63EC">
        <w:rPr>
          <w:rFonts w:cs="Times New Roman"/>
          <w:szCs w:val="24"/>
        </w:rPr>
        <w:t xml:space="preserve">, although </w:t>
      </w:r>
      <w:r w:rsidR="003C6B6D" w:rsidRPr="004B63EC">
        <w:rPr>
          <w:rFonts w:cs="Times New Roman"/>
          <w:szCs w:val="24"/>
        </w:rPr>
        <w:t xml:space="preserve">it is an </w:t>
      </w:r>
      <w:r w:rsidR="00D539F3" w:rsidRPr="004B63EC">
        <w:rPr>
          <w:rFonts w:cs="Times New Roman"/>
          <w:szCs w:val="24"/>
        </w:rPr>
        <w:t>obvious candidate</w:t>
      </w:r>
      <w:r w:rsidR="006A0902" w:rsidRPr="004B63EC">
        <w:rPr>
          <w:rFonts w:cs="Times New Roman"/>
          <w:szCs w:val="24"/>
        </w:rPr>
        <w:t xml:space="preserve"> for cross-regional comparison</w:t>
      </w:r>
      <w:r w:rsidR="00391CE8" w:rsidRPr="004B63EC">
        <w:rPr>
          <w:rFonts w:cs="Times New Roman"/>
          <w:szCs w:val="24"/>
        </w:rPr>
        <w:t>s</w:t>
      </w:r>
      <w:r w:rsidR="00633EAE" w:rsidRPr="004B63EC">
        <w:rPr>
          <w:rFonts w:cs="Times New Roman"/>
          <w:szCs w:val="24"/>
        </w:rPr>
        <w:t xml:space="preserve">. Latin America, for example, has a </w:t>
      </w:r>
      <w:r w:rsidR="005B199C" w:rsidRPr="004B63EC">
        <w:rPr>
          <w:rFonts w:cs="Times New Roman"/>
          <w:szCs w:val="24"/>
        </w:rPr>
        <w:t>longstandi</w:t>
      </w:r>
      <w:r w:rsidR="001C1F0F" w:rsidRPr="004B63EC">
        <w:rPr>
          <w:rFonts w:cs="Times New Roman"/>
          <w:szCs w:val="24"/>
        </w:rPr>
        <w:t>ng, if episodic</w:t>
      </w:r>
      <w:r w:rsidR="003855FF" w:rsidRPr="004B63EC">
        <w:rPr>
          <w:rFonts w:cs="Times New Roman"/>
          <w:szCs w:val="24"/>
        </w:rPr>
        <w:t xml:space="preserve"> and often marginalized</w:t>
      </w:r>
      <w:r w:rsidR="005B199C" w:rsidRPr="004B63EC">
        <w:rPr>
          <w:rFonts w:cs="Times New Roman"/>
          <w:szCs w:val="24"/>
        </w:rPr>
        <w:t>, tradition of participating in efforts to create a (more or less) liberal international order</w:t>
      </w:r>
      <w:r w:rsidR="000156DC" w:rsidRPr="004B63EC">
        <w:rPr>
          <w:rFonts w:cs="Times New Roman"/>
          <w:szCs w:val="24"/>
        </w:rPr>
        <w:t xml:space="preserve"> (Long 2018</w:t>
      </w:r>
      <w:r w:rsidR="00633EAE" w:rsidRPr="004B63EC">
        <w:rPr>
          <w:rFonts w:cs="Times New Roman"/>
          <w:szCs w:val="24"/>
        </w:rPr>
        <w:t>, 2020</w:t>
      </w:r>
      <w:r w:rsidR="000156DC" w:rsidRPr="004B63EC">
        <w:rPr>
          <w:rFonts w:cs="Times New Roman"/>
          <w:szCs w:val="24"/>
        </w:rPr>
        <w:t>)</w:t>
      </w:r>
      <w:r w:rsidR="005905C4" w:rsidRPr="004B63EC">
        <w:rPr>
          <w:rFonts w:cs="Times New Roman"/>
          <w:szCs w:val="24"/>
        </w:rPr>
        <w:t xml:space="preserve">. </w:t>
      </w:r>
      <w:r w:rsidR="001C1F0F" w:rsidRPr="004B63EC">
        <w:rPr>
          <w:rFonts w:cs="Times New Roman"/>
          <w:szCs w:val="24"/>
        </w:rPr>
        <w:t xml:space="preserve">Latin American regionalism may be particularly consequential </w:t>
      </w:r>
      <w:r w:rsidR="006A5D11" w:rsidRPr="004B63EC">
        <w:rPr>
          <w:rFonts w:cs="Times New Roman"/>
          <w:szCs w:val="24"/>
        </w:rPr>
        <w:t xml:space="preserve">to examine </w:t>
      </w:r>
      <w:r w:rsidR="00D539F3" w:rsidRPr="004B63EC">
        <w:rPr>
          <w:rFonts w:cs="Times New Roman"/>
          <w:szCs w:val="24"/>
        </w:rPr>
        <w:t>in an era in which US dominance in the world and the hemisphere has declined</w:t>
      </w:r>
      <w:r w:rsidR="006135D7" w:rsidRPr="004B63EC">
        <w:rPr>
          <w:rFonts w:cs="Times New Roman"/>
          <w:szCs w:val="24"/>
        </w:rPr>
        <w:t>, leaving more space for independent action</w:t>
      </w:r>
      <w:r w:rsidR="00BD087C" w:rsidRPr="004B63EC">
        <w:rPr>
          <w:rFonts w:cs="Times New Roman"/>
          <w:szCs w:val="24"/>
        </w:rPr>
        <w:t xml:space="preserve"> </w:t>
      </w:r>
      <w:r w:rsidR="006135D7" w:rsidRPr="004B63EC">
        <w:rPr>
          <w:rFonts w:cs="Times New Roman"/>
          <w:szCs w:val="24"/>
        </w:rPr>
        <w:t xml:space="preserve">by middle powers and their citizens </w:t>
      </w:r>
      <w:r w:rsidR="00BD087C" w:rsidRPr="004B63EC">
        <w:rPr>
          <w:rFonts w:cs="Times New Roman"/>
          <w:szCs w:val="24"/>
        </w:rPr>
        <w:t>(</w:t>
      </w:r>
      <w:proofErr w:type="spellStart"/>
      <w:r w:rsidR="006A0902" w:rsidRPr="004B63EC">
        <w:rPr>
          <w:rFonts w:cs="Times New Roman"/>
          <w:szCs w:val="24"/>
        </w:rPr>
        <w:t>Hurrell</w:t>
      </w:r>
      <w:proofErr w:type="spellEnd"/>
      <w:r w:rsidR="009547A8" w:rsidRPr="004B63EC">
        <w:rPr>
          <w:rFonts w:cs="Times New Roman"/>
          <w:szCs w:val="24"/>
        </w:rPr>
        <w:t xml:space="preserve"> 2004; </w:t>
      </w:r>
      <w:proofErr w:type="spellStart"/>
      <w:r w:rsidR="009547A8" w:rsidRPr="004B63EC">
        <w:rPr>
          <w:rFonts w:cs="Times New Roman"/>
          <w:szCs w:val="24"/>
        </w:rPr>
        <w:t>Riggorizzi</w:t>
      </w:r>
      <w:proofErr w:type="spellEnd"/>
      <w:r w:rsidR="009547A8" w:rsidRPr="004B63EC">
        <w:rPr>
          <w:rFonts w:cs="Times New Roman"/>
          <w:szCs w:val="24"/>
        </w:rPr>
        <w:t xml:space="preserve"> and </w:t>
      </w:r>
      <w:proofErr w:type="spellStart"/>
      <w:r w:rsidR="009547A8" w:rsidRPr="004B63EC">
        <w:rPr>
          <w:rFonts w:cs="Times New Roman"/>
          <w:szCs w:val="24"/>
        </w:rPr>
        <w:t>Wylde</w:t>
      </w:r>
      <w:proofErr w:type="spellEnd"/>
      <w:r w:rsidR="009547A8" w:rsidRPr="004B63EC">
        <w:rPr>
          <w:rFonts w:cs="Times New Roman"/>
          <w:szCs w:val="24"/>
        </w:rPr>
        <w:t xml:space="preserve"> 2017)</w:t>
      </w:r>
      <w:r w:rsidR="00D539F3" w:rsidRPr="004B63EC">
        <w:rPr>
          <w:rFonts w:cs="Times New Roman"/>
          <w:szCs w:val="24"/>
        </w:rPr>
        <w:t xml:space="preserve">. </w:t>
      </w:r>
    </w:p>
    <w:p w14:paraId="564A1696" w14:textId="77777777" w:rsidR="00561F7E" w:rsidRPr="004B63EC" w:rsidRDefault="00561F7E" w:rsidP="00BE7DEA">
      <w:pPr>
        <w:autoSpaceDE w:val="0"/>
        <w:autoSpaceDN w:val="0"/>
        <w:adjustRightInd w:val="0"/>
        <w:rPr>
          <w:rFonts w:cs="Times New Roman"/>
          <w:szCs w:val="24"/>
        </w:rPr>
      </w:pPr>
    </w:p>
    <w:p w14:paraId="73516C41" w14:textId="3700FD75" w:rsidR="00561F7E" w:rsidRPr="004B63EC" w:rsidRDefault="00561F7E" w:rsidP="00BE7DEA">
      <w:pPr>
        <w:autoSpaceDE w:val="0"/>
        <w:autoSpaceDN w:val="0"/>
        <w:adjustRightInd w:val="0"/>
        <w:rPr>
          <w:rFonts w:cs="Times New Roman"/>
          <w:i/>
          <w:szCs w:val="24"/>
        </w:rPr>
      </w:pPr>
      <w:r w:rsidRPr="004B63EC">
        <w:rPr>
          <w:rFonts w:cs="Times New Roman"/>
          <w:i/>
          <w:szCs w:val="24"/>
        </w:rPr>
        <w:t>The Opportunity: A Request for Proposals</w:t>
      </w:r>
    </w:p>
    <w:p w14:paraId="3754C2AF" w14:textId="77777777" w:rsidR="006C1E5C" w:rsidRPr="004B63EC" w:rsidRDefault="006C1E5C" w:rsidP="00BE7DEA">
      <w:pPr>
        <w:autoSpaceDE w:val="0"/>
        <w:autoSpaceDN w:val="0"/>
        <w:adjustRightInd w:val="0"/>
        <w:rPr>
          <w:rFonts w:cs="Times New Roman"/>
          <w:szCs w:val="24"/>
        </w:rPr>
      </w:pPr>
    </w:p>
    <w:p w14:paraId="6187B9E9" w14:textId="4F13EAB7" w:rsidR="00923C70" w:rsidRPr="004B63EC" w:rsidRDefault="00923C70" w:rsidP="00923C70">
      <w:pPr>
        <w:autoSpaceDE w:val="0"/>
        <w:autoSpaceDN w:val="0"/>
        <w:adjustRightInd w:val="0"/>
        <w:rPr>
          <w:rFonts w:cs="Times New Roman"/>
          <w:szCs w:val="24"/>
        </w:rPr>
      </w:pPr>
      <w:r w:rsidRPr="004B63EC">
        <w:rPr>
          <w:rFonts w:cs="Times New Roman"/>
          <w:szCs w:val="24"/>
        </w:rPr>
        <w:tab/>
        <w:t>We invite proposals of 500 to 1000 words, including notes and references, from scholars of and from Latin America.</w:t>
      </w:r>
      <w:r w:rsidRPr="004B63EC">
        <w:rPr>
          <w:rStyle w:val="FootnoteReference"/>
          <w:rFonts w:cs="Times New Roman"/>
          <w:szCs w:val="24"/>
        </w:rPr>
        <w:footnoteReference w:id="1"/>
      </w:r>
      <w:r w:rsidRPr="004B63EC">
        <w:rPr>
          <w:rFonts w:cs="Times New Roman"/>
          <w:szCs w:val="24"/>
        </w:rPr>
        <w:t xml:space="preserve"> We would welcome proposals to analyze attempts at regional governance within </w:t>
      </w:r>
      <w:r w:rsidR="00F6674C">
        <w:rPr>
          <w:rFonts w:cs="Times New Roman"/>
          <w:szCs w:val="24"/>
        </w:rPr>
        <w:t xml:space="preserve">any international </w:t>
      </w:r>
      <w:r w:rsidRPr="004B63EC">
        <w:rPr>
          <w:rFonts w:cs="Times New Roman"/>
          <w:szCs w:val="24"/>
        </w:rPr>
        <w:t>issue arenas</w:t>
      </w:r>
      <w:r w:rsidR="00CC6DA4">
        <w:rPr>
          <w:rFonts w:cs="Times New Roman"/>
          <w:szCs w:val="24"/>
        </w:rPr>
        <w:t xml:space="preserve">. Possibilities </w:t>
      </w:r>
      <w:r w:rsidR="00F6674C">
        <w:rPr>
          <w:rFonts w:cs="Times New Roman"/>
          <w:szCs w:val="24"/>
        </w:rPr>
        <w:t xml:space="preserve">include </w:t>
      </w:r>
      <w:r w:rsidR="00CC6DA4">
        <w:rPr>
          <w:rFonts w:cs="Times New Roman"/>
          <w:szCs w:val="24"/>
        </w:rPr>
        <w:t xml:space="preserve">but are not limited to: </w:t>
      </w:r>
      <w:r w:rsidRPr="004B63EC">
        <w:rPr>
          <w:rFonts w:cs="Times New Roman"/>
          <w:szCs w:val="24"/>
        </w:rPr>
        <w:t xml:space="preserve">financial regulation, collective security, infectious disease control, labor rights, </w:t>
      </w:r>
      <w:r w:rsidR="00F6674C">
        <w:rPr>
          <w:rFonts w:cs="Times New Roman"/>
          <w:szCs w:val="24"/>
        </w:rPr>
        <w:t xml:space="preserve">indigenous rights, </w:t>
      </w:r>
      <w:r w:rsidRPr="004B63EC">
        <w:rPr>
          <w:rFonts w:cs="Times New Roman"/>
          <w:szCs w:val="24"/>
        </w:rPr>
        <w:t>migration</w:t>
      </w:r>
      <w:r w:rsidR="00CC6DA4">
        <w:rPr>
          <w:rFonts w:cs="Times New Roman"/>
          <w:szCs w:val="24"/>
        </w:rPr>
        <w:t xml:space="preserve"> governance</w:t>
      </w:r>
      <w:r w:rsidRPr="004B63EC">
        <w:rPr>
          <w:rFonts w:cs="Times New Roman"/>
          <w:szCs w:val="24"/>
        </w:rPr>
        <w:t xml:space="preserve">, climate mitigation, </w:t>
      </w:r>
      <w:r w:rsidR="00F6674C">
        <w:rPr>
          <w:rFonts w:cs="Times New Roman"/>
          <w:szCs w:val="24"/>
        </w:rPr>
        <w:t xml:space="preserve">cross-border policing, </w:t>
      </w:r>
      <w:r w:rsidRPr="004B63EC">
        <w:rPr>
          <w:rFonts w:cs="Times New Roman"/>
          <w:szCs w:val="24"/>
        </w:rPr>
        <w:t xml:space="preserve">infrastructure planning, </w:t>
      </w:r>
      <w:r w:rsidR="00F6674C">
        <w:rPr>
          <w:rFonts w:cs="Times New Roman"/>
          <w:szCs w:val="24"/>
        </w:rPr>
        <w:t xml:space="preserve">electricity planning, post-authoritarian truth-and-reconciliation movements, mining regulation, </w:t>
      </w:r>
      <w:r w:rsidR="00CC6DA4">
        <w:rPr>
          <w:rFonts w:cs="Times New Roman"/>
          <w:szCs w:val="24"/>
        </w:rPr>
        <w:t xml:space="preserve">regional coordination of positions in negotiations with extra-regional actors as in sovereign debt negotiations, </w:t>
      </w:r>
      <w:r w:rsidRPr="004B63EC">
        <w:rPr>
          <w:rFonts w:cs="Times New Roman"/>
          <w:szCs w:val="24"/>
        </w:rPr>
        <w:t>and water governance.</w:t>
      </w:r>
      <w:r w:rsidRPr="004B63EC">
        <w:rPr>
          <w:rStyle w:val="FootnoteReference"/>
          <w:rFonts w:cs="Times New Roman"/>
          <w:szCs w:val="24"/>
        </w:rPr>
        <w:footnoteReference w:id="2"/>
      </w:r>
      <w:r w:rsidRPr="004B63EC">
        <w:rPr>
          <w:rFonts w:cs="Times New Roman"/>
          <w:szCs w:val="24"/>
        </w:rPr>
        <w:t xml:space="preserve"> International </w:t>
      </w:r>
      <w:r w:rsidRPr="004B63EC">
        <w:rPr>
          <w:rFonts w:cs="Times New Roman"/>
          <w:i/>
          <w:szCs w:val="24"/>
        </w:rPr>
        <w:t>governance</w:t>
      </w:r>
      <w:r w:rsidRPr="004B63EC">
        <w:rPr>
          <w:rFonts w:cs="Times New Roman"/>
          <w:szCs w:val="24"/>
        </w:rPr>
        <w:t>, whether global or regional, is defined as “intentional collaboration across national borders to define, organize, monitor, evaluate, regulate, or transform the incentives, institutions, processes, and outcomes in a public policy issue arena.”</w:t>
      </w:r>
    </w:p>
    <w:p w14:paraId="62E7612C" w14:textId="77777777" w:rsidR="00923C70" w:rsidRPr="004B63EC" w:rsidRDefault="00923C70" w:rsidP="00BE7DEA">
      <w:pPr>
        <w:autoSpaceDE w:val="0"/>
        <w:autoSpaceDN w:val="0"/>
        <w:adjustRightInd w:val="0"/>
        <w:rPr>
          <w:rFonts w:cs="Times New Roman"/>
          <w:szCs w:val="24"/>
        </w:rPr>
      </w:pPr>
    </w:p>
    <w:p w14:paraId="1627C297" w14:textId="77777777" w:rsidR="00923C70" w:rsidRPr="004B63EC" w:rsidRDefault="00561F7E" w:rsidP="00561F7E">
      <w:pPr>
        <w:autoSpaceDE w:val="0"/>
        <w:autoSpaceDN w:val="0"/>
        <w:adjustRightInd w:val="0"/>
        <w:rPr>
          <w:rFonts w:cs="Times New Roman"/>
          <w:szCs w:val="24"/>
        </w:rPr>
      </w:pPr>
      <w:r w:rsidRPr="004B63EC">
        <w:rPr>
          <w:rFonts w:cs="Times New Roman"/>
          <w:szCs w:val="24"/>
        </w:rPr>
        <w:tab/>
        <w:t xml:space="preserve">The organizers plan to edit a book, or possibly a journal special issue, on policy regionalism in a variety of important issue arenas, in South America and/or Latin America. We solicit contributors willing to fulfill two tasks. </w:t>
      </w:r>
    </w:p>
    <w:p w14:paraId="319952E8" w14:textId="77777777" w:rsidR="00923C70" w:rsidRPr="004B63EC" w:rsidRDefault="00923C70" w:rsidP="00561F7E">
      <w:pPr>
        <w:autoSpaceDE w:val="0"/>
        <w:autoSpaceDN w:val="0"/>
        <w:adjustRightInd w:val="0"/>
        <w:rPr>
          <w:rFonts w:cs="Times New Roman"/>
          <w:szCs w:val="24"/>
        </w:rPr>
      </w:pPr>
    </w:p>
    <w:p w14:paraId="2840CB1D" w14:textId="59AD65A2" w:rsidR="00561F7E" w:rsidRPr="004B63EC" w:rsidRDefault="00923C70" w:rsidP="00561F7E">
      <w:pPr>
        <w:autoSpaceDE w:val="0"/>
        <w:autoSpaceDN w:val="0"/>
        <w:adjustRightInd w:val="0"/>
        <w:rPr>
          <w:rFonts w:cs="Times New Roman"/>
          <w:szCs w:val="24"/>
        </w:rPr>
      </w:pPr>
      <w:r w:rsidRPr="004B63EC">
        <w:rPr>
          <w:rFonts w:cs="Times New Roman"/>
          <w:szCs w:val="24"/>
        </w:rPr>
        <w:tab/>
      </w:r>
      <w:r w:rsidR="00561F7E" w:rsidRPr="004B63EC">
        <w:rPr>
          <w:rFonts w:cs="Times New Roman"/>
          <w:szCs w:val="24"/>
        </w:rPr>
        <w:t>First, each participating author is requested to construct an approximately thirty year analytical policy history of major attempts, both successful and failed, at regional governance within the chosen issue arena, from roughly 1990 through the first months of the global Covid-19 pandemic in 2020.</w:t>
      </w:r>
      <w:r w:rsidR="00561F7E" w:rsidRPr="004B63EC">
        <w:rPr>
          <w:rStyle w:val="FootnoteReference"/>
          <w:rFonts w:cs="Times New Roman"/>
          <w:szCs w:val="24"/>
        </w:rPr>
        <w:footnoteReference w:id="3"/>
      </w:r>
      <w:r w:rsidR="00561F7E" w:rsidRPr="004B63EC">
        <w:rPr>
          <w:rFonts w:cs="Times New Roman"/>
          <w:szCs w:val="24"/>
        </w:rPr>
        <w:t xml:space="preserve"> The always thorny questions of issue and geographic scope we leave to decisions by participating authors in dialogue with their empirical materials. </w:t>
      </w:r>
      <w:r w:rsidR="00F6674C">
        <w:rPr>
          <w:rFonts w:cs="Times New Roman"/>
          <w:szCs w:val="24"/>
        </w:rPr>
        <w:t xml:space="preserve">This said, we will </w:t>
      </w:r>
      <w:r w:rsidR="00561F7E" w:rsidRPr="004B63EC">
        <w:rPr>
          <w:rFonts w:cs="Times New Roman"/>
          <w:szCs w:val="24"/>
        </w:rPr>
        <w:t>prefer policy histories that have as their geographical focus either all of Latin America or at least South America, even in (the numerous) cases in which the only successful, enduring cooperation has been among smaller, sub-regional groups of states. Nor are we requesting mere histories of a particular regional IGO</w:t>
      </w:r>
      <w:r w:rsidR="005D7F0A">
        <w:rPr>
          <w:rFonts w:cs="Times New Roman"/>
          <w:szCs w:val="24"/>
        </w:rPr>
        <w:t>, although this will be appropriate in some international issue arenas</w:t>
      </w:r>
      <w:r w:rsidR="00561F7E" w:rsidRPr="004B63EC">
        <w:rPr>
          <w:rFonts w:cs="Times New Roman"/>
          <w:szCs w:val="24"/>
        </w:rPr>
        <w:t xml:space="preserve">. </w:t>
      </w:r>
      <w:r w:rsidR="005D7F0A">
        <w:rPr>
          <w:rFonts w:cs="Times New Roman"/>
          <w:szCs w:val="24"/>
        </w:rPr>
        <w:t>In other issue arenas the narrative may feature competing efforts, possible with rival partisan or geographic commitments, to organize the issue arena.</w:t>
      </w:r>
      <w:r w:rsidR="005D7F0A">
        <w:rPr>
          <w:rStyle w:val="FootnoteReference"/>
          <w:rFonts w:cs="Times New Roman"/>
          <w:szCs w:val="24"/>
        </w:rPr>
        <w:footnoteReference w:id="4"/>
      </w:r>
      <w:r w:rsidR="005D7F0A">
        <w:rPr>
          <w:rFonts w:cs="Times New Roman"/>
          <w:szCs w:val="24"/>
        </w:rPr>
        <w:t xml:space="preserve"> </w:t>
      </w:r>
      <w:r w:rsidR="00F6674C" w:rsidRPr="004B63EC">
        <w:rPr>
          <w:rFonts w:cs="Times New Roman"/>
          <w:szCs w:val="24"/>
        </w:rPr>
        <w:t>Such attempt</w:t>
      </w:r>
      <w:r w:rsidR="00A14346">
        <w:rPr>
          <w:rFonts w:cs="Times New Roman"/>
          <w:szCs w:val="24"/>
        </w:rPr>
        <w:t>s need not result in a permanent</w:t>
      </w:r>
      <w:r w:rsidR="00F6674C" w:rsidRPr="004B63EC">
        <w:rPr>
          <w:rFonts w:cs="Times New Roman"/>
          <w:szCs w:val="24"/>
        </w:rPr>
        <w:t xml:space="preserve"> </w:t>
      </w:r>
      <w:r w:rsidR="00A14346">
        <w:rPr>
          <w:rFonts w:cs="Times New Roman"/>
          <w:szCs w:val="24"/>
        </w:rPr>
        <w:t xml:space="preserve">multilateral organization </w:t>
      </w:r>
      <w:r w:rsidR="00F6674C" w:rsidRPr="004B63EC">
        <w:rPr>
          <w:rFonts w:cs="Times New Roman"/>
          <w:szCs w:val="24"/>
        </w:rPr>
        <w:t>with a physical headquarters</w:t>
      </w:r>
      <w:r w:rsidR="00A14346">
        <w:rPr>
          <w:rFonts w:cs="Times New Roman"/>
          <w:szCs w:val="24"/>
        </w:rPr>
        <w:t>, staff,</w:t>
      </w:r>
      <w:r w:rsidR="00F6674C" w:rsidRPr="004B63EC">
        <w:rPr>
          <w:rFonts w:cs="Times New Roman"/>
          <w:szCs w:val="24"/>
        </w:rPr>
        <w:t xml:space="preserve"> and a budget. </w:t>
      </w:r>
      <w:r w:rsidR="00A14346">
        <w:rPr>
          <w:rFonts w:cs="Times New Roman"/>
          <w:szCs w:val="24"/>
        </w:rPr>
        <w:t>Instead, w</w:t>
      </w:r>
      <w:r w:rsidR="00561F7E" w:rsidRPr="004B63EC">
        <w:rPr>
          <w:rFonts w:cs="Times New Roman"/>
          <w:szCs w:val="24"/>
        </w:rPr>
        <w:t xml:space="preserve">e are interested in tracing the course of </w:t>
      </w:r>
      <w:r w:rsidR="005D7F0A">
        <w:rPr>
          <w:rFonts w:cs="Times New Roman"/>
          <w:szCs w:val="24"/>
        </w:rPr>
        <w:t xml:space="preserve">three </w:t>
      </w:r>
      <w:r w:rsidR="00561F7E" w:rsidRPr="004B63EC">
        <w:rPr>
          <w:rFonts w:cs="Times New Roman"/>
          <w:szCs w:val="24"/>
        </w:rPr>
        <w:t xml:space="preserve">decades of attempts at organizing meaningful transnational or multilateral cooperation across national borders to respond to compelling </w:t>
      </w:r>
      <w:r w:rsidR="00F6674C">
        <w:rPr>
          <w:rFonts w:cs="Times New Roman"/>
          <w:szCs w:val="24"/>
        </w:rPr>
        <w:t xml:space="preserve">public </w:t>
      </w:r>
      <w:r w:rsidR="00561F7E" w:rsidRPr="004B63EC">
        <w:rPr>
          <w:rFonts w:cs="Times New Roman"/>
          <w:szCs w:val="24"/>
        </w:rPr>
        <w:t>policy dilemmas that affect more than one country.</w:t>
      </w:r>
      <w:r w:rsidR="00E457EC">
        <w:rPr>
          <w:rFonts w:cs="Times New Roman"/>
          <w:szCs w:val="24"/>
        </w:rPr>
        <w:t xml:space="preserve"> </w:t>
      </w:r>
      <w:r w:rsidR="00F6674C">
        <w:rPr>
          <w:rFonts w:cs="Times New Roman"/>
          <w:szCs w:val="24"/>
        </w:rPr>
        <w:t>In terms of possible issue arenas, this is a wide remit.</w:t>
      </w:r>
    </w:p>
    <w:p w14:paraId="58BCEB61" w14:textId="77777777" w:rsidR="00561F7E" w:rsidRPr="004B63EC" w:rsidRDefault="00561F7E" w:rsidP="00561F7E">
      <w:pPr>
        <w:autoSpaceDE w:val="0"/>
        <w:autoSpaceDN w:val="0"/>
        <w:adjustRightInd w:val="0"/>
        <w:rPr>
          <w:rFonts w:cs="Times New Roman"/>
          <w:szCs w:val="24"/>
        </w:rPr>
      </w:pPr>
    </w:p>
    <w:p w14:paraId="629ECBE4" w14:textId="6CCD9284" w:rsidR="00561F7E" w:rsidRPr="004B63EC" w:rsidRDefault="00561F7E" w:rsidP="00561F7E">
      <w:pPr>
        <w:autoSpaceDE w:val="0"/>
        <w:autoSpaceDN w:val="0"/>
        <w:adjustRightInd w:val="0"/>
        <w:rPr>
          <w:rFonts w:cs="Times New Roman"/>
          <w:iCs/>
          <w:szCs w:val="24"/>
        </w:rPr>
      </w:pPr>
      <w:r w:rsidRPr="004B63EC">
        <w:rPr>
          <w:rFonts w:cs="Times New Roman"/>
          <w:szCs w:val="24"/>
        </w:rPr>
        <w:tab/>
        <w:t xml:space="preserve">The second (and likely concurrent) task for each contributor is to relate the empirical story to theory by constructing a plausible explanatory </w:t>
      </w:r>
      <w:r w:rsidR="00DB6567">
        <w:rPr>
          <w:rFonts w:cs="Times New Roman"/>
          <w:szCs w:val="24"/>
        </w:rPr>
        <w:t xml:space="preserve">and analytical </w:t>
      </w:r>
      <w:r w:rsidRPr="004B63EC">
        <w:rPr>
          <w:rFonts w:cs="Times New Roman"/>
          <w:szCs w:val="24"/>
        </w:rPr>
        <w:t xml:space="preserve">narrative(s) of issue arena governance, working </w:t>
      </w:r>
      <w:r w:rsidR="00E457EC">
        <w:rPr>
          <w:rFonts w:cs="Times New Roman"/>
          <w:szCs w:val="24"/>
        </w:rPr>
        <w:t xml:space="preserve">loosely </w:t>
      </w:r>
      <w:r w:rsidRPr="004B63EC">
        <w:rPr>
          <w:rFonts w:cs="Times New Roman"/>
          <w:szCs w:val="24"/>
        </w:rPr>
        <w:t>with</w:t>
      </w:r>
      <w:r w:rsidR="00E457EC">
        <w:rPr>
          <w:rFonts w:cs="Times New Roman"/>
          <w:szCs w:val="24"/>
        </w:rPr>
        <w:t>in</w:t>
      </w:r>
      <w:r w:rsidRPr="004B63EC">
        <w:rPr>
          <w:rFonts w:cs="Times New Roman"/>
          <w:szCs w:val="24"/>
        </w:rPr>
        <w:t xml:space="preserve"> at least one of the three broad theoretical traditions</w:t>
      </w:r>
      <w:r w:rsidR="00E457EC">
        <w:rPr>
          <w:rFonts w:cs="Times New Roman"/>
          <w:szCs w:val="24"/>
        </w:rPr>
        <w:t xml:space="preserve"> set out below</w:t>
      </w:r>
      <w:r w:rsidRPr="004B63EC">
        <w:rPr>
          <w:rFonts w:cs="Times New Roman"/>
          <w:szCs w:val="24"/>
        </w:rPr>
        <w:t>.</w:t>
      </w:r>
      <w:r w:rsidR="00E457EC">
        <w:rPr>
          <w:rStyle w:val="FootnoteReference"/>
          <w:rFonts w:cs="Times New Roman"/>
          <w:szCs w:val="24"/>
        </w:rPr>
        <w:footnoteReference w:id="5"/>
      </w:r>
      <w:r w:rsidRPr="004B63EC">
        <w:rPr>
          <w:rFonts w:cs="Times New Roman"/>
          <w:szCs w:val="24"/>
        </w:rPr>
        <w:t xml:space="preserve"> That is, each participant </w:t>
      </w:r>
      <w:r w:rsidR="00923C70" w:rsidRPr="004B63EC">
        <w:rPr>
          <w:rFonts w:cs="Times New Roman"/>
          <w:szCs w:val="24"/>
        </w:rPr>
        <w:t xml:space="preserve">eventually </w:t>
      </w:r>
      <w:r w:rsidRPr="004B63EC">
        <w:rPr>
          <w:rFonts w:cs="Times New Roman"/>
          <w:szCs w:val="24"/>
        </w:rPr>
        <w:t xml:space="preserve">should respond to the implicit question: </w:t>
      </w:r>
      <w:r w:rsidR="00923C70" w:rsidRPr="004B63EC">
        <w:rPr>
          <w:rFonts w:cs="Times New Roman"/>
          <w:szCs w:val="24"/>
        </w:rPr>
        <w:t>“</w:t>
      </w:r>
      <w:r w:rsidRPr="004B63EC">
        <w:rPr>
          <w:rFonts w:cs="Times New Roman"/>
          <w:iCs/>
          <w:szCs w:val="24"/>
        </w:rPr>
        <w:t>How do I best account for the course of regional cooperation, successful or stymied, within this cross-border policy arena over this three-decade time period?</w:t>
      </w:r>
      <w:r w:rsidR="00923C70" w:rsidRPr="004B63EC">
        <w:rPr>
          <w:rFonts w:cs="Times New Roman"/>
          <w:iCs/>
          <w:szCs w:val="24"/>
        </w:rPr>
        <w:t>”</w:t>
      </w:r>
    </w:p>
    <w:p w14:paraId="5D3BE4C0" w14:textId="77777777" w:rsidR="00923C70" w:rsidRPr="004B63EC" w:rsidRDefault="00923C70" w:rsidP="00561F7E">
      <w:pPr>
        <w:autoSpaceDE w:val="0"/>
        <w:autoSpaceDN w:val="0"/>
        <w:adjustRightInd w:val="0"/>
        <w:rPr>
          <w:rFonts w:cs="Times New Roman"/>
          <w:i/>
          <w:iCs/>
          <w:szCs w:val="24"/>
        </w:rPr>
      </w:pPr>
    </w:p>
    <w:p w14:paraId="5DE0B7DC" w14:textId="10410838" w:rsidR="00561F7E" w:rsidRPr="004B63EC" w:rsidRDefault="00923C70" w:rsidP="00BE7DEA">
      <w:pPr>
        <w:autoSpaceDE w:val="0"/>
        <w:autoSpaceDN w:val="0"/>
        <w:adjustRightInd w:val="0"/>
        <w:rPr>
          <w:rFonts w:cs="Times New Roman"/>
          <w:i/>
          <w:szCs w:val="24"/>
        </w:rPr>
      </w:pPr>
      <w:r w:rsidRPr="004B63EC">
        <w:rPr>
          <w:rFonts w:cs="Times New Roman"/>
          <w:i/>
          <w:szCs w:val="24"/>
        </w:rPr>
        <w:t>Theoretical Framing: Issue Arena Incentives, Power Politics, or Norm Entrepreneurs</w:t>
      </w:r>
    </w:p>
    <w:p w14:paraId="6D0F2A21" w14:textId="77777777" w:rsidR="00561F7E" w:rsidRPr="004B63EC" w:rsidRDefault="00561F7E" w:rsidP="00BE7DEA">
      <w:pPr>
        <w:autoSpaceDE w:val="0"/>
        <w:autoSpaceDN w:val="0"/>
        <w:adjustRightInd w:val="0"/>
        <w:rPr>
          <w:rFonts w:cs="Times New Roman"/>
          <w:szCs w:val="24"/>
        </w:rPr>
      </w:pPr>
    </w:p>
    <w:p w14:paraId="5B82C1B8" w14:textId="61B2693E" w:rsidR="005F7BD4" w:rsidRDefault="0030197A" w:rsidP="00BE7DEA">
      <w:pPr>
        <w:autoSpaceDE w:val="0"/>
        <w:autoSpaceDN w:val="0"/>
        <w:adjustRightInd w:val="0"/>
        <w:rPr>
          <w:rFonts w:cs="Times New Roman"/>
          <w:szCs w:val="24"/>
        </w:rPr>
      </w:pPr>
      <w:r w:rsidRPr="004B63EC">
        <w:rPr>
          <w:rFonts w:cs="Times New Roman"/>
          <w:szCs w:val="24"/>
        </w:rPr>
        <w:tab/>
      </w:r>
      <w:r w:rsidR="005905C4" w:rsidRPr="004B63EC">
        <w:rPr>
          <w:rFonts w:cs="Times New Roman"/>
          <w:szCs w:val="24"/>
        </w:rPr>
        <w:t>By intention, t</w:t>
      </w:r>
      <w:r w:rsidRPr="004B63EC">
        <w:rPr>
          <w:rFonts w:cs="Times New Roman"/>
          <w:szCs w:val="24"/>
        </w:rPr>
        <w:t xml:space="preserve">he project is </w:t>
      </w:r>
      <w:r w:rsidR="00BE7DEA" w:rsidRPr="004B63EC">
        <w:rPr>
          <w:rFonts w:cs="Times New Roman"/>
          <w:szCs w:val="24"/>
        </w:rPr>
        <w:t>theoretically catholic –</w:t>
      </w:r>
      <w:r w:rsidRPr="004B63EC">
        <w:rPr>
          <w:rFonts w:cs="Times New Roman"/>
          <w:szCs w:val="24"/>
        </w:rPr>
        <w:t xml:space="preserve"> yet analytical. T</w:t>
      </w:r>
      <w:r w:rsidR="00BE7DEA" w:rsidRPr="004B63EC">
        <w:rPr>
          <w:rFonts w:cs="Times New Roman"/>
          <w:szCs w:val="24"/>
        </w:rPr>
        <w:t xml:space="preserve">he organizers </w:t>
      </w:r>
      <w:r w:rsidR="004903F4" w:rsidRPr="004B63EC">
        <w:rPr>
          <w:rFonts w:cs="Times New Roman"/>
          <w:szCs w:val="24"/>
        </w:rPr>
        <w:t>identify</w:t>
      </w:r>
      <w:r w:rsidR="005905C4" w:rsidRPr="004B63EC">
        <w:rPr>
          <w:rFonts w:cs="Times New Roman"/>
          <w:szCs w:val="24"/>
        </w:rPr>
        <w:t xml:space="preserve"> three broad scholarly traditions, each of which has been helpful to researchers investigating the drivers and p</w:t>
      </w:r>
      <w:r w:rsidR="00F16AE3" w:rsidRPr="004B63EC">
        <w:rPr>
          <w:rFonts w:cs="Times New Roman"/>
          <w:szCs w:val="24"/>
        </w:rPr>
        <w:t>itfalls of regional cooperation, an</w:t>
      </w:r>
      <w:r w:rsidR="006135D7" w:rsidRPr="004B63EC">
        <w:rPr>
          <w:rFonts w:cs="Times New Roman"/>
          <w:szCs w:val="24"/>
        </w:rPr>
        <w:t>d specify these traditions</w:t>
      </w:r>
      <w:r w:rsidR="00F16AE3" w:rsidRPr="004B63EC">
        <w:rPr>
          <w:rFonts w:cs="Times New Roman"/>
          <w:szCs w:val="24"/>
        </w:rPr>
        <w:t xml:space="preserve"> in ways that </w:t>
      </w:r>
      <w:r w:rsidR="004903F4" w:rsidRPr="004B63EC">
        <w:rPr>
          <w:rFonts w:cs="Times New Roman"/>
          <w:szCs w:val="24"/>
        </w:rPr>
        <w:t xml:space="preserve">we hope </w:t>
      </w:r>
      <w:r w:rsidR="00F16AE3" w:rsidRPr="004B63EC">
        <w:rPr>
          <w:rFonts w:cs="Times New Roman"/>
          <w:szCs w:val="24"/>
        </w:rPr>
        <w:t xml:space="preserve">minimize their overlap. Our request to </w:t>
      </w:r>
      <w:r w:rsidR="004903F4" w:rsidRPr="004B63EC">
        <w:rPr>
          <w:rFonts w:cs="Times New Roman"/>
          <w:szCs w:val="24"/>
        </w:rPr>
        <w:t xml:space="preserve">accepted participants </w:t>
      </w:r>
      <w:r w:rsidR="00985DAB">
        <w:rPr>
          <w:rFonts w:cs="Times New Roman"/>
          <w:szCs w:val="24"/>
        </w:rPr>
        <w:t xml:space="preserve">in this collaborative project </w:t>
      </w:r>
      <w:r w:rsidR="004903F4" w:rsidRPr="004B63EC">
        <w:rPr>
          <w:rFonts w:cs="Times New Roman"/>
          <w:szCs w:val="24"/>
        </w:rPr>
        <w:t>will be</w:t>
      </w:r>
      <w:r w:rsidR="00F16AE3" w:rsidRPr="004B63EC">
        <w:rPr>
          <w:rFonts w:cs="Times New Roman"/>
          <w:szCs w:val="24"/>
        </w:rPr>
        <w:t xml:space="preserve"> to frame their contributions within at least one of these important theoretical narratives, or as </w:t>
      </w:r>
      <w:r w:rsidR="00B4217E" w:rsidRPr="004B63EC">
        <w:rPr>
          <w:rFonts w:cs="Times New Roman"/>
          <w:szCs w:val="24"/>
        </w:rPr>
        <w:t xml:space="preserve">a dialogue between or among them. We have provisionally labeled the three broad approaches issue arena incentives, </w:t>
      </w:r>
      <w:r w:rsidR="00C61485" w:rsidRPr="004B63EC">
        <w:rPr>
          <w:rFonts w:cs="Times New Roman"/>
          <w:szCs w:val="24"/>
        </w:rPr>
        <w:t>power politics, and norm entrepreneurs</w:t>
      </w:r>
      <w:r w:rsidR="00F16AE3" w:rsidRPr="004B63EC">
        <w:rPr>
          <w:rFonts w:cs="Times New Roman"/>
          <w:szCs w:val="24"/>
        </w:rPr>
        <w:t xml:space="preserve">. </w:t>
      </w:r>
    </w:p>
    <w:p w14:paraId="5D12AD11" w14:textId="77777777" w:rsidR="005F7BD4" w:rsidRDefault="005F7BD4" w:rsidP="00BE7DEA">
      <w:pPr>
        <w:autoSpaceDE w:val="0"/>
        <w:autoSpaceDN w:val="0"/>
        <w:adjustRightInd w:val="0"/>
        <w:rPr>
          <w:rFonts w:cs="Times New Roman"/>
          <w:szCs w:val="24"/>
        </w:rPr>
      </w:pPr>
    </w:p>
    <w:p w14:paraId="61800627" w14:textId="30865C8A" w:rsidR="00561F7E" w:rsidRPr="004B63EC" w:rsidRDefault="005F7BD4" w:rsidP="00BE7DEA">
      <w:pPr>
        <w:autoSpaceDE w:val="0"/>
        <w:autoSpaceDN w:val="0"/>
        <w:adjustRightInd w:val="0"/>
        <w:rPr>
          <w:rFonts w:cs="Times New Roman"/>
          <w:szCs w:val="24"/>
        </w:rPr>
      </w:pPr>
      <w:r>
        <w:rPr>
          <w:rFonts w:cs="Times New Roman"/>
          <w:szCs w:val="24"/>
        </w:rPr>
        <w:tab/>
      </w:r>
      <w:r w:rsidR="0071110C" w:rsidRPr="004B63EC">
        <w:rPr>
          <w:rFonts w:cs="Times New Roman"/>
          <w:i/>
          <w:szCs w:val="24"/>
        </w:rPr>
        <w:t xml:space="preserve">Issue arena incentives </w:t>
      </w:r>
      <w:r w:rsidR="00F16AE3" w:rsidRPr="004B63EC">
        <w:rPr>
          <w:rFonts w:cs="Times New Roman"/>
          <w:szCs w:val="24"/>
        </w:rPr>
        <w:t>theorizes cooperation across national borders by examining the distribution of incentives within the specific international issue arena</w:t>
      </w:r>
      <w:r w:rsidR="004903F4" w:rsidRPr="004B63EC">
        <w:rPr>
          <w:rFonts w:cs="Times New Roman"/>
          <w:szCs w:val="24"/>
        </w:rPr>
        <w:t xml:space="preserve"> (whether</w:t>
      </w:r>
      <w:r w:rsidR="0071110C" w:rsidRPr="004B63EC">
        <w:rPr>
          <w:rFonts w:cs="Times New Roman"/>
          <w:szCs w:val="24"/>
        </w:rPr>
        <w:t xml:space="preserve"> </w:t>
      </w:r>
      <w:r w:rsidR="00F16AE3" w:rsidRPr="004B63EC">
        <w:rPr>
          <w:rFonts w:cs="Times New Roman"/>
          <w:szCs w:val="24"/>
        </w:rPr>
        <w:t>food grains trade</w:t>
      </w:r>
      <w:r w:rsidR="0071110C" w:rsidRPr="004B63EC">
        <w:rPr>
          <w:rFonts w:cs="Times New Roman"/>
          <w:szCs w:val="24"/>
        </w:rPr>
        <w:t>,</w:t>
      </w:r>
      <w:r w:rsidR="00F16AE3" w:rsidRPr="004B63EC">
        <w:rPr>
          <w:rFonts w:cs="Times New Roman"/>
          <w:szCs w:val="24"/>
        </w:rPr>
        <w:t xml:space="preserve"> </w:t>
      </w:r>
      <w:r w:rsidR="0071110C" w:rsidRPr="004B63EC">
        <w:rPr>
          <w:rFonts w:cs="Times New Roman"/>
          <w:szCs w:val="24"/>
        </w:rPr>
        <w:t>global shipping regulation, multinational</w:t>
      </w:r>
      <w:r w:rsidR="00F16AE3" w:rsidRPr="004B63EC">
        <w:rPr>
          <w:rFonts w:cs="Times New Roman"/>
          <w:szCs w:val="24"/>
        </w:rPr>
        <w:t xml:space="preserve"> vaccine development</w:t>
      </w:r>
      <w:r w:rsidR="0071110C" w:rsidRPr="004B63EC">
        <w:rPr>
          <w:rFonts w:cs="Times New Roman"/>
          <w:szCs w:val="24"/>
        </w:rPr>
        <w:t>, or any other international policy arena</w:t>
      </w:r>
      <w:r w:rsidR="00F16AE3" w:rsidRPr="004B63EC">
        <w:rPr>
          <w:rFonts w:cs="Times New Roman"/>
          <w:szCs w:val="24"/>
        </w:rPr>
        <w:t>) or its existing regulatory or governance institutions</w:t>
      </w:r>
      <w:r w:rsidR="0071110C" w:rsidRPr="004B63EC">
        <w:rPr>
          <w:rFonts w:cs="Times New Roman"/>
          <w:szCs w:val="24"/>
        </w:rPr>
        <w:t xml:space="preserve">. </w:t>
      </w:r>
      <w:r w:rsidR="00BE7275" w:rsidRPr="004B63EC">
        <w:rPr>
          <w:rFonts w:cs="Times New Roman"/>
          <w:szCs w:val="24"/>
        </w:rPr>
        <w:t xml:space="preserve">The common assumption of most such approaches to international policy analysis is that it is the characteristics of the issue arena itself that </w:t>
      </w:r>
      <w:r w:rsidR="00B37132" w:rsidRPr="004B63EC">
        <w:rPr>
          <w:rFonts w:cs="Times New Roman"/>
          <w:szCs w:val="24"/>
        </w:rPr>
        <w:t xml:space="preserve">drive actors’ choices. </w:t>
      </w:r>
    </w:p>
    <w:p w14:paraId="43D1B76A" w14:textId="77777777" w:rsidR="00561F7E" w:rsidRPr="004B63EC" w:rsidRDefault="00561F7E" w:rsidP="00BE7DEA">
      <w:pPr>
        <w:autoSpaceDE w:val="0"/>
        <w:autoSpaceDN w:val="0"/>
        <w:adjustRightInd w:val="0"/>
        <w:rPr>
          <w:rFonts w:cs="Times New Roman"/>
          <w:szCs w:val="24"/>
        </w:rPr>
      </w:pPr>
    </w:p>
    <w:p w14:paraId="49BD8A6A" w14:textId="1DA8D56E" w:rsidR="004B5A25" w:rsidRPr="004B63EC" w:rsidRDefault="00561F7E" w:rsidP="00BE7DEA">
      <w:pPr>
        <w:autoSpaceDE w:val="0"/>
        <w:autoSpaceDN w:val="0"/>
        <w:adjustRightInd w:val="0"/>
        <w:rPr>
          <w:rFonts w:cs="Times New Roman"/>
          <w:szCs w:val="24"/>
        </w:rPr>
      </w:pPr>
      <w:r w:rsidRPr="004B63EC">
        <w:rPr>
          <w:rFonts w:cs="Times New Roman"/>
          <w:szCs w:val="24"/>
        </w:rPr>
        <w:tab/>
      </w:r>
      <w:r w:rsidR="00B37132" w:rsidRPr="004B63EC">
        <w:rPr>
          <w:rFonts w:cs="Times New Roman"/>
          <w:szCs w:val="24"/>
        </w:rPr>
        <w:t>For example, Barrett (2007:2-4) defines an issue arena in which a solution requires a “single best effort” from someone. If an asteroid is hurtling toward the earth, one country able to divert the impact can provide a public good for all. Alternatively, another issue arena might have a solution that is only as strong as its “weakest link.”</w:t>
      </w:r>
      <w:r w:rsidR="00985DAB">
        <w:rPr>
          <w:rFonts w:cs="Times New Roman"/>
          <w:szCs w:val="24"/>
        </w:rPr>
        <w:t xml:space="preserve"> For example, p</w:t>
      </w:r>
      <w:r w:rsidR="00B37132" w:rsidRPr="004B63EC">
        <w:rPr>
          <w:rFonts w:cs="Times New Roman"/>
          <w:szCs w:val="24"/>
        </w:rPr>
        <w:t>reventing the spread of smallpox or any highly infectious pandemic disease requires a collective effort by all countries. Once the analyst is able to identify the true structure of the policy problem</w:t>
      </w:r>
      <w:r w:rsidR="00985DAB">
        <w:rPr>
          <w:rFonts w:cs="Times New Roman"/>
          <w:szCs w:val="24"/>
        </w:rPr>
        <w:t xml:space="preserve"> in a specific issue arena</w:t>
      </w:r>
      <w:r w:rsidR="00B37132" w:rsidRPr="004B63EC">
        <w:rPr>
          <w:rFonts w:cs="Times New Roman"/>
          <w:szCs w:val="24"/>
        </w:rPr>
        <w:t>, it may have clear implications for the “rational design” (</w:t>
      </w:r>
      <w:proofErr w:type="spellStart"/>
      <w:r w:rsidR="00B37132" w:rsidRPr="004B63EC">
        <w:rPr>
          <w:rFonts w:cs="Times New Roman"/>
          <w:szCs w:val="24"/>
        </w:rPr>
        <w:t>Koremenos</w:t>
      </w:r>
      <w:proofErr w:type="spellEnd"/>
      <w:r w:rsidR="00B37132" w:rsidRPr="004B63EC">
        <w:rPr>
          <w:rFonts w:cs="Times New Roman"/>
          <w:szCs w:val="24"/>
        </w:rPr>
        <w:t xml:space="preserve">, Lipson, and </w:t>
      </w:r>
      <w:proofErr w:type="spellStart"/>
      <w:r w:rsidR="00B37132" w:rsidRPr="004B63EC">
        <w:rPr>
          <w:rFonts w:cs="Times New Roman"/>
          <w:szCs w:val="24"/>
        </w:rPr>
        <w:t>Snidel</w:t>
      </w:r>
      <w:proofErr w:type="spellEnd"/>
      <w:r w:rsidR="00B37132" w:rsidRPr="004B63EC">
        <w:rPr>
          <w:rFonts w:cs="Times New Roman"/>
          <w:szCs w:val="24"/>
        </w:rPr>
        <w:t xml:space="preserve"> 2001) of governance institutions. Ideally, the correct or optimal institutional or organizational design for the policy problem can transform a </w:t>
      </w:r>
      <w:r w:rsidR="00F41E12" w:rsidRPr="004B63EC">
        <w:rPr>
          <w:rFonts w:cs="Times New Roman"/>
          <w:szCs w:val="24"/>
        </w:rPr>
        <w:t xml:space="preserve">zero-sum into a win-win (or positive sum) situation. For example, arms control agreements </w:t>
      </w:r>
      <w:r w:rsidR="00985DAB">
        <w:rPr>
          <w:rFonts w:cs="Times New Roman"/>
          <w:szCs w:val="24"/>
        </w:rPr>
        <w:t xml:space="preserve">are designed to </w:t>
      </w:r>
      <w:r w:rsidR="00F41E12" w:rsidRPr="004B63EC">
        <w:rPr>
          <w:rFonts w:cs="Times New Roman"/>
          <w:szCs w:val="24"/>
        </w:rPr>
        <w:t xml:space="preserve">moderate each country’s fear of a surprise attack by including strong inspection and verification regimes </w:t>
      </w:r>
      <w:r w:rsidR="00985DAB">
        <w:rPr>
          <w:rFonts w:cs="Times New Roman"/>
          <w:szCs w:val="24"/>
        </w:rPr>
        <w:t xml:space="preserve">in order </w:t>
      </w:r>
      <w:r w:rsidR="00F41E12" w:rsidRPr="004B63EC">
        <w:rPr>
          <w:rFonts w:cs="Times New Roman"/>
          <w:szCs w:val="24"/>
        </w:rPr>
        <w:t xml:space="preserve">to build mutual trust. In this case, both countries </w:t>
      </w:r>
      <w:r w:rsidR="00985DAB">
        <w:rPr>
          <w:rFonts w:cs="Times New Roman"/>
          <w:szCs w:val="24"/>
        </w:rPr>
        <w:t xml:space="preserve">benefit by being </w:t>
      </w:r>
      <w:r w:rsidR="00F41E12" w:rsidRPr="004B63EC">
        <w:rPr>
          <w:rFonts w:cs="Times New Roman"/>
          <w:szCs w:val="24"/>
        </w:rPr>
        <w:t>freed to redirect their scarce resources toward economic development.</w:t>
      </w:r>
      <w:r w:rsidR="007F48B5" w:rsidRPr="004B63EC">
        <w:rPr>
          <w:rFonts w:cs="Times New Roman"/>
          <w:szCs w:val="24"/>
        </w:rPr>
        <w:t xml:space="preserve"> Similarly, </w:t>
      </w:r>
      <w:proofErr w:type="spellStart"/>
      <w:r w:rsidR="007F48B5" w:rsidRPr="004B63EC">
        <w:rPr>
          <w:rFonts w:cs="Times New Roman"/>
          <w:szCs w:val="24"/>
        </w:rPr>
        <w:t>Cashore</w:t>
      </w:r>
      <w:proofErr w:type="spellEnd"/>
      <w:r w:rsidR="007F48B5" w:rsidRPr="004B63EC">
        <w:rPr>
          <w:rFonts w:cs="Times New Roman"/>
          <w:szCs w:val="24"/>
        </w:rPr>
        <w:t xml:space="preserve"> and Bernstein (2020) posit four different types of decision-making, arguing that the nature of the problem (or </w:t>
      </w:r>
      <w:r w:rsidR="00985DAB">
        <w:rPr>
          <w:rFonts w:cs="Times New Roman"/>
          <w:szCs w:val="24"/>
        </w:rPr>
        <w:t xml:space="preserve">policy </w:t>
      </w:r>
      <w:r w:rsidR="007F48B5" w:rsidRPr="004B63EC">
        <w:rPr>
          <w:rFonts w:cs="Times New Roman"/>
          <w:szCs w:val="24"/>
        </w:rPr>
        <w:t>issue arena)</w:t>
      </w:r>
      <w:r w:rsidR="00985DAB">
        <w:rPr>
          <w:rFonts w:cs="Times New Roman"/>
          <w:szCs w:val="24"/>
        </w:rPr>
        <w:t xml:space="preserve"> can suggest</w:t>
      </w:r>
      <w:r w:rsidR="007F48B5" w:rsidRPr="004B63EC">
        <w:rPr>
          <w:rFonts w:cs="Times New Roman"/>
          <w:szCs w:val="24"/>
        </w:rPr>
        <w:t xml:space="preserve"> which type of decision-ma</w:t>
      </w:r>
      <w:r w:rsidR="007E69AB" w:rsidRPr="004B63EC">
        <w:rPr>
          <w:rFonts w:cs="Times New Roman"/>
          <w:szCs w:val="24"/>
        </w:rPr>
        <w:t>king will be most appropriate. For example, o</w:t>
      </w:r>
      <w:r w:rsidR="007F48B5" w:rsidRPr="004B63EC">
        <w:rPr>
          <w:rFonts w:cs="Times New Roman"/>
          <w:szCs w:val="24"/>
        </w:rPr>
        <w:t xml:space="preserve">ptimization of costs and benefits is not </w:t>
      </w:r>
      <w:r w:rsidR="007E69AB" w:rsidRPr="004B63EC">
        <w:rPr>
          <w:rFonts w:cs="Times New Roman"/>
          <w:szCs w:val="24"/>
        </w:rPr>
        <w:t xml:space="preserve">a good process for </w:t>
      </w:r>
      <w:r w:rsidR="007F48B5" w:rsidRPr="004B63EC">
        <w:rPr>
          <w:rFonts w:cs="Times New Roman"/>
          <w:szCs w:val="24"/>
        </w:rPr>
        <w:t>co</w:t>
      </w:r>
      <w:r w:rsidR="007E69AB" w:rsidRPr="004B63EC">
        <w:rPr>
          <w:rFonts w:cs="Times New Roman"/>
          <w:szCs w:val="24"/>
        </w:rPr>
        <w:t>nceptualizing how or when to end</w:t>
      </w:r>
      <w:r w:rsidR="007F48B5" w:rsidRPr="004B63EC">
        <w:rPr>
          <w:rFonts w:cs="Times New Roman"/>
          <w:szCs w:val="24"/>
        </w:rPr>
        <w:t xml:space="preserve"> slavery</w:t>
      </w:r>
      <w:r w:rsidR="007E69AB" w:rsidRPr="004B63EC">
        <w:rPr>
          <w:rFonts w:cs="Times New Roman"/>
          <w:szCs w:val="24"/>
        </w:rPr>
        <w:t>, which is a moral imperative</w:t>
      </w:r>
      <w:r w:rsidR="007F48B5" w:rsidRPr="004B63EC">
        <w:rPr>
          <w:rFonts w:cs="Times New Roman"/>
          <w:szCs w:val="24"/>
        </w:rPr>
        <w:t>. Bargaining among interested parties and eventually arriving at a negotiated compromise is appropriate for allocating funds among alternate uses</w:t>
      </w:r>
      <w:r w:rsidR="007E69AB" w:rsidRPr="004B63EC">
        <w:rPr>
          <w:rFonts w:cs="Times New Roman"/>
          <w:szCs w:val="24"/>
        </w:rPr>
        <w:t xml:space="preserve"> in a national budget process</w:t>
      </w:r>
      <w:r w:rsidR="00985DAB">
        <w:rPr>
          <w:rFonts w:cs="Times New Roman"/>
          <w:szCs w:val="24"/>
        </w:rPr>
        <w:t>--</w:t>
      </w:r>
      <w:r w:rsidR="007F48B5" w:rsidRPr="004B63EC">
        <w:rPr>
          <w:rFonts w:cs="Times New Roman"/>
          <w:szCs w:val="24"/>
        </w:rPr>
        <w:t xml:space="preserve">but </w:t>
      </w:r>
      <w:r w:rsidR="00985DAB">
        <w:rPr>
          <w:rFonts w:cs="Times New Roman"/>
          <w:szCs w:val="24"/>
        </w:rPr>
        <w:t xml:space="preserve">is a deeply flawed process </w:t>
      </w:r>
      <w:r w:rsidR="007F48B5" w:rsidRPr="004B63EC">
        <w:rPr>
          <w:rFonts w:cs="Times New Roman"/>
          <w:szCs w:val="24"/>
        </w:rPr>
        <w:t xml:space="preserve">for deciding on </w:t>
      </w:r>
      <w:r w:rsidR="007E69AB" w:rsidRPr="004B63EC">
        <w:rPr>
          <w:rFonts w:cs="Times New Roman"/>
          <w:szCs w:val="24"/>
        </w:rPr>
        <w:t xml:space="preserve">scientific questions such as </w:t>
      </w:r>
      <w:r w:rsidR="007F48B5" w:rsidRPr="004B63EC">
        <w:rPr>
          <w:rFonts w:cs="Times New Roman"/>
          <w:szCs w:val="24"/>
        </w:rPr>
        <w:t xml:space="preserve">what sacrifices need to be made to avert </w:t>
      </w:r>
      <w:r w:rsidR="00985DAB">
        <w:rPr>
          <w:rFonts w:cs="Times New Roman"/>
          <w:szCs w:val="24"/>
        </w:rPr>
        <w:t xml:space="preserve">global </w:t>
      </w:r>
      <w:r w:rsidR="007F48B5" w:rsidRPr="004B63EC">
        <w:rPr>
          <w:rFonts w:cs="Times New Roman"/>
          <w:szCs w:val="24"/>
        </w:rPr>
        <w:t>climate catastrophe.</w:t>
      </w:r>
      <w:r w:rsidR="00F16AE3" w:rsidRPr="004B63EC">
        <w:rPr>
          <w:rStyle w:val="FootnoteReference"/>
          <w:rFonts w:cs="Times New Roman"/>
          <w:szCs w:val="24"/>
        </w:rPr>
        <w:footnoteReference w:id="6"/>
      </w:r>
      <w:r w:rsidR="00F16AE3" w:rsidRPr="004B63EC">
        <w:rPr>
          <w:rFonts w:cs="Times New Roman"/>
          <w:szCs w:val="24"/>
        </w:rPr>
        <w:t xml:space="preserve"> </w:t>
      </w:r>
      <w:r w:rsidR="00985DAB">
        <w:rPr>
          <w:rFonts w:cs="Times New Roman"/>
          <w:szCs w:val="24"/>
        </w:rPr>
        <w:t>In all of this family of approaches, it is the structure of the issue arena itself that drives the analysis.</w:t>
      </w:r>
    </w:p>
    <w:p w14:paraId="0773F25B" w14:textId="77777777" w:rsidR="004B5A25" w:rsidRPr="004B63EC" w:rsidRDefault="004B5A25" w:rsidP="00BE7DEA">
      <w:pPr>
        <w:autoSpaceDE w:val="0"/>
        <w:autoSpaceDN w:val="0"/>
        <w:adjustRightInd w:val="0"/>
        <w:rPr>
          <w:rFonts w:cs="Times New Roman"/>
          <w:szCs w:val="24"/>
        </w:rPr>
      </w:pPr>
    </w:p>
    <w:p w14:paraId="78133832" w14:textId="1A34C4C6" w:rsidR="0079712A" w:rsidRDefault="004B5A25" w:rsidP="00BE7DEA">
      <w:pPr>
        <w:autoSpaceDE w:val="0"/>
        <w:autoSpaceDN w:val="0"/>
        <w:adjustRightInd w:val="0"/>
        <w:rPr>
          <w:rFonts w:cs="Times New Roman"/>
          <w:szCs w:val="24"/>
        </w:rPr>
      </w:pPr>
      <w:r w:rsidRPr="004B63EC">
        <w:rPr>
          <w:rFonts w:cs="Times New Roman"/>
          <w:szCs w:val="24"/>
        </w:rPr>
        <w:tab/>
      </w:r>
      <w:r w:rsidR="00F41E12" w:rsidRPr="004B63EC">
        <w:rPr>
          <w:rFonts w:cs="Times New Roman"/>
          <w:szCs w:val="24"/>
        </w:rPr>
        <w:t>We term a</w:t>
      </w:r>
      <w:r w:rsidR="00F16AE3" w:rsidRPr="004B63EC">
        <w:rPr>
          <w:rFonts w:cs="Times New Roman"/>
          <w:szCs w:val="24"/>
        </w:rPr>
        <w:t xml:space="preserve"> second broad approach </w:t>
      </w:r>
      <w:r w:rsidR="00C61485" w:rsidRPr="004B63EC">
        <w:rPr>
          <w:rFonts w:cs="Times New Roman"/>
          <w:i/>
          <w:szCs w:val="24"/>
        </w:rPr>
        <w:t>power politics</w:t>
      </w:r>
      <w:r w:rsidR="0071110C" w:rsidRPr="004B63EC">
        <w:rPr>
          <w:rFonts w:cs="Times New Roman"/>
          <w:i/>
          <w:szCs w:val="24"/>
        </w:rPr>
        <w:t>.</w:t>
      </w:r>
      <w:r w:rsidR="00140196" w:rsidRPr="004B63EC">
        <w:rPr>
          <w:rStyle w:val="FootnoteReference"/>
          <w:rFonts w:cs="Times New Roman"/>
          <w:szCs w:val="24"/>
        </w:rPr>
        <w:footnoteReference w:id="7"/>
      </w:r>
      <w:r w:rsidR="0071110C" w:rsidRPr="004B63EC">
        <w:rPr>
          <w:rFonts w:cs="Times New Roman"/>
          <w:i/>
          <w:szCs w:val="24"/>
        </w:rPr>
        <w:t xml:space="preserve"> </w:t>
      </w:r>
      <w:r w:rsidR="0002708F" w:rsidRPr="004B63EC">
        <w:rPr>
          <w:rFonts w:cs="Times New Roman"/>
          <w:szCs w:val="24"/>
        </w:rPr>
        <w:t xml:space="preserve">It differs from the first approach in that it focuses on the larger political environment within which a national policymaker makes decisions about each issue arena. </w:t>
      </w:r>
      <w:r w:rsidR="00FC5D4F">
        <w:rPr>
          <w:rFonts w:cs="Times New Roman"/>
          <w:szCs w:val="24"/>
        </w:rPr>
        <w:t>The analysis also explicitly attends to the relative power capabilities of different countries or other important policy actors</w:t>
      </w:r>
      <w:r w:rsidR="00140196">
        <w:rPr>
          <w:rFonts w:cs="Times New Roman"/>
          <w:szCs w:val="24"/>
        </w:rPr>
        <w:t>, and the politically-relevant resources (such as fun</w:t>
      </w:r>
      <w:r w:rsidR="005E7EFC">
        <w:rPr>
          <w:rFonts w:cs="Times New Roman"/>
          <w:szCs w:val="24"/>
        </w:rPr>
        <w:t>ding for IGOs) that influential actors may control</w:t>
      </w:r>
      <w:r w:rsidR="00FC5D4F">
        <w:rPr>
          <w:rFonts w:cs="Times New Roman"/>
          <w:szCs w:val="24"/>
        </w:rPr>
        <w:t xml:space="preserve">. </w:t>
      </w:r>
      <w:r w:rsidR="0002708F" w:rsidRPr="004B63EC">
        <w:rPr>
          <w:rFonts w:cs="Times New Roman"/>
          <w:szCs w:val="24"/>
        </w:rPr>
        <w:t xml:space="preserve">The policymaker is assumed to be a rational </w:t>
      </w:r>
      <w:r w:rsidR="007E69AB" w:rsidRPr="004B63EC">
        <w:rPr>
          <w:rFonts w:cs="Times New Roman"/>
          <w:szCs w:val="24"/>
        </w:rPr>
        <w:t xml:space="preserve">national leader (or </w:t>
      </w:r>
      <w:r w:rsidR="004141F0" w:rsidRPr="004B63EC">
        <w:rPr>
          <w:rFonts w:cs="Times New Roman"/>
          <w:szCs w:val="24"/>
        </w:rPr>
        <w:t xml:space="preserve">a </w:t>
      </w:r>
      <w:r w:rsidR="007E69AB" w:rsidRPr="004B63EC">
        <w:rPr>
          <w:rFonts w:cs="Times New Roman"/>
          <w:szCs w:val="24"/>
        </w:rPr>
        <w:t xml:space="preserve">close aide </w:t>
      </w:r>
      <w:r w:rsidR="004141F0" w:rsidRPr="004B63EC">
        <w:rPr>
          <w:rFonts w:cs="Times New Roman"/>
          <w:szCs w:val="24"/>
        </w:rPr>
        <w:t xml:space="preserve">such as a senior cabinet </w:t>
      </w:r>
      <w:r w:rsidR="007E69AB" w:rsidRPr="004B63EC">
        <w:rPr>
          <w:rFonts w:cs="Times New Roman"/>
          <w:szCs w:val="24"/>
        </w:rPr>
        <w:t>minister)</w:t>
      </w:r>
      <w:r w:rsidR="0002708F" w:rsidRPr="004B63EC">
        <w:rPr>
          <w:rFonts w:cs="Times New Roman"/>
          <w:szCs w:val="24"/>
        </w:rPr>
        <w:t xml:space="preserve"> playing a </w:t>
      </w:r>
      <w:r w:rsidR="007F48B5" w:rsidRPr="004B63EC">
        <w:rPr>
          <w:rFonts w:cs="Times New Roman"/>
          <w:szCs w:val="24"/>
        </w:rPr>
        <w:t>“</w:t>
      </w:r>
      <w:r w:rsidR="0002708F" w:rsidRPr="004B63EC">
        <w:rPr>
          <w:rFonts w:cs="Times New Roman"/>
          <w:szCs w:val="24"/>
        </w:rPr>
        <w:t>two-level game</w:t>
      </w:r>
      <w:r w:rsidR="007F48B5" w:rsidRPr="004B63EC">
        <w:rPr>
          <w:rFonts w:cs="Times New Roman"/>
          <w:szCs w:val="24"/>
        </w:rPr>
        <w:t>”</w:t>
      </w:r>
      <w:r w:rsidR="0002708F" w:rsidRPr="004B63EC">
        <w:rPr>
          <w:rFonts w:cs="Times New Roman"/>
          <w:szCs w:val="24"/>
        </w:rPr>
        <w:t xml:space="preserve"> of </w:t>
      </w:r>
      <w:r w:rsidR="007F48B5" w:rsidRPr="004B63EC">
        <w:rPr>
          <w:rFonts w:cs="Times New Roman"/>
          <w:szCs w:val="24"/>
        </w:rPr>
        <w:t xml:space="preserve">both </w:t>
      </w:r>
      <w:r w:rsidR="0002708F" w:rsidRPr="004B63EC">
        <w:rPr>
          <w:rFonts w:cs="Times New Roman"/>
          <w:szCs w:val="24"/>
        </w:rPr>
        <w:t>foreign policy and domestic politics</w:t>
      </w:r>
      <w:r w:rsidR="00202804" w:rsidRPr="004B63EC">
        <w:rPr>
          <w:rFonts w:cs="Times New Roman"/>
          <w:szCs w:val="24"/>
        </w:rPr>
        <w:t xml:space="preserve"> (Putnam 1988)</w:t>
      </w:r>
      <w:r w:rsidR="0002708F" w:rsidRPr="004B63EC">
        <w:rPr>
          <w:rFonts w:cs="Times New Roman"/>
          <w:szCs w:val="24"/>
        </w:rPr>
        <w:t xml:space="preserve">. </w:t>
      </w:r>
      <w:r w:rsidR="00893624" w:rsidRPr="004B63EC">
        <w:rPr>
          <w:rFonts w:cs="Times New Roman"/>
          <w:szCs w:val="24"/>
        </w:rPr>
        <w:t>Foreign policy considerations enter when, for example, Chinese or American decisions about their p</w:t>
      </w:r>
      <w:r w:rsidR="004141F0" w:rsidRPr="004B63EC">
        <w:rPr>
          <w:rFonts w:cs="Times New Roman"/>
          <w:szCs w:val="24"/>
        </w:rPr>
        <w:t>articipation in global gov</w:t>
      </w:r>
      <w:r w:rsidR="00893624" w:rsidRPr="004B63EC">
        <w:rPr>
          <w:rFonts w:cs="Times New Roman"/>
          <w:szCs w:val="24"/>
        </w:rPr>
        <w:t xml:space="preserve">ernance processes to develop a vaccine for the novel Covid-19 coronavirus are colored by the increasingly hostile rivalry </w:t>
      </w:r>
      <w:r w:rsidR="00FC5D4F">
        <w:rPr>
          <w:rFonts w:cs="Times New Roman"/>
          <w:szCs w:val="24"/>
        </w:rPr>
        <w:t xml:space="preserve">across a wide range of specific issues </w:t>
      </w:r>
      <w:r w:rsidR="00893624" w:rsidRPr="004B63EC">
        <w:rPr>
          <w:rFonts w:cs="Times New Roman"/>
          <w:szCs w:val="24"/>
        </w:rPr>
        <w:t xml:space="preserve">that has developed between the two states. Their rivalry, in turn, may not be a function of any specific action leaders of either state have taken, nor even of an inevitable clash of domestic political systems, one democratic and the other authoritarian. </w:t>
      </w:r>
      <w:r w:rsidR="0082694C" w:rsidRPr="004B63EC">
        <w:rPr>
          <w:rFonts w:cs="Times New Roman"/>
          <w:szCs w:val="24"/>
        </w:rPr>
        <w:t>Instead, their mutual testiness may be driven by the systemic-structur</w:t>
      </w:r>
      <w:r w:rsidR="0079712A" w:rsidRPr="004B63EC">
        <w:rPr>
          <w:rFonts w:cs="Times New Roman"/>
          <w:szCs w:val="24"/>
        </w:rPr>
        <w:t>al condition of the one country (the US)</w:t>
      </w:r>
      <w:r w:rsidR="0082694C" w:rsidRPr="004B63EC">
        <w:rPr>
          <w:rFonts w:cs="Times New Roman"/>
          <w:szCs w:val="24"/>
        </w:rPr>
        <w:t xml:space="preserve"> being a relatively declining hegemon, and the </w:t>
      </w:r>
      <w:r w:rsidR="0079712A" w:rsidRPr="004B63EC">
        <w:rPr>
          <w:rFonts w:cs="Times New Roman"/>
          <w:szCs w:val="24"/>
        </w:rPr>
        <w:t>other country (China)</w:t>
      </w:r>
      <w:r w:rsidR="0082694C" w:rsidRPr="004B63EC">
        <w:rPr>
          <w:rFonts w:cs="Times New Roman"/>
          <w:szCs w:val="24"/>
        </w:rPr>
        <w:t xml:space="preserve"> being a rising challenger</w:t>
      </w:r>
      <w:r w:rsidR="0079712A" w:rsidRPr="004B63EC">
        <w:rPr>
          <w:rFonts w:cs="Times New Roman"/>
          <w:szCs w:val="24"/>
        </w:rPr>
        <w:t>. The condition of being a rising challenger, in turn</w:t>
      </w:r>
      <w:r w:rsidR="0082694C" w:rsidRPr="004B63EC">
        <w:rPr>
          <w:rFonts w:cs="Times New Roman"/>
          <w:szCs w:val="24"/>
        </w:rPr>
        <w:t xml:space="preserve">, </w:t>
      </w:r>
      <w:r w:rsidR="0079712A" w:rsidRPr="004B63EC">
        <w:rPr>
          <w:rFonts w:cs="Times New Roman"/>
          <w:szCs w:val="24"/>
        </w:rPr>
        <w:t xml:space="preserve">is </w:t>
      </w:r>
      <w:r w:rsidR="0082694C" w:rsidRPr="004B63EC">
        <w:rPr>
          <w:rFonts w:cs="Times New Roman"/>
          <w:szCs w:val="24"/>
        </w:rPr>
        <w:t xml:space="preserve">not </w:t>
      </w:r>
      <w:r w:rsidR="0079712A" w:rsidRPr="004B63EC">
        <w:rPr>
          <w:rFonts w:cs="Times New Roman"/>
          <w:szCs w:val="24"/>
        </w:rPr>
        <w:t xml:space="preserve">necessarily due to aggressive </w:t>
      </w:r>
      <w:r w:rsidR="0082694C" w:rsidRPr="004B63EC">
        <w:rPr>
          <w:rFonts w:cs="Times New Roman"/>
          <w:szCs w:val="24"/>
        </w:rPr>
        <w:t xml:space="preserve">foreign policy choices, but rather due to </w:t>
      </w:r>
      <w:r w:rsidR="0079712A" w:rsidRPr="004B63EC">
        <w:rPr>
          <w:rFonts w:cs="Times New Roman"/>
          <w:szCs w:val="24"/>
        </w:rPr>
        <w:t xml:space="preserve">a country’s </w:t>
      </w:r>
      <w:r w:rsidR="0082694C" w:rsidRPr="004B63EC">
        <w:rPr>
          <w:rFonts w:cs="Times New Roman"/>
          <w:szCs w:val="24"/>
        </w:rPr>
        <w:t>increasing possession of international power resources such as a large population coupled to a large and fast-growing economy</w:t>
      </w:r>
      <w:r w:rsidR="00F931A4">
        <w:rPr>
          <w:rFonts w:cs="Times New Roman"/>
          <w:szCs w:val="24"/>
        </w:rPr>
        <w:t xml:space="preserve"> (Waltz 1979; </w:t>
      </w:r>
      <w:proofErr w:type="spellStart"/>
      <w:r w:rsidR="00F931A4">
        <w:rPr>
          <w:rFonts w:cs="Times New Roman"/>
          <w:szCs w:val="24"/>
        </w:rPr>
        <w:t>Tammen</w:t>
      </w:r>
      <w:proofErr w:type="spellEnd"/>
      <w:r w:rsidR="00F931A4">
        <w:rPr>
          <w:rFonts w:cs="Times New Roman"/>
          <w:szCs w:val="24"/>
        </w:rPr>
        <w:t xml:space="preserve"> et al. 2000</w:t>
      </w:r>
      <w:r w:rsidR="0079712A" w:rsidRPr="004B63EC">
        <w:rPr>
          <w:rFonts w:cs="Times New Roman"/>
          <w:szCs w:val="24"/>
        </w:rPr>
        <w:t xml:space="preserve">). The point is that an issue-specific focus on understanding the challenges of joint international vaccine development may not adequately explain why China and the US have trouble collaborating peacefully. </w:t>
      </w:r>
      <w:r w:rsidR="007B041D" w:rsidRPr="004B63EC">
        <w:rPr>
          <w:rFonts w:cs="Times New Roman"/>
          <w:szCs w:val="24"/>
        </w:rPr>
        <w:t xml:space="preserve">More generally, shifts in </w:t>
      </w:r>
      <w:r w:rsidR="00FC5D4F">
        <w:rPr>
          <w:rFonts w:cs="Times New Roman"/>
          <w:szCs w:val="24"/>
        </w:rPr>
        <w:t xml:space="preserve">overall </w:t>
      </w:r>
      <w:r w:rsidR="007B041D" w:rsidRPr="004B63EC">
        <w:rPr>
          <w:rFonts w:cs="Times New Roman"/>
          <w:szCs w:val="24"/>
        </w:rPr>
        <w:t>global power relations, such as the 21</w:t>
      </w:r>
      <w:r w:rsidR="007B041D" w:rsidRPr="004B63EC">
        <w:rPr>
          <w:rFonts w:cs="Times New Roman"/>
          <w:szCs w:val="24"/>
          <w:vertAlign w:val="superscript"/>
        </w:rPr>
        <w:t>st</w:t>
      </w:r>
      <w:r w:rsidR="007B041D" w:rsidRPr="004B63EC">
        <w:rPr>
          <w:rFonts w:cs="Times New Roman"/>
          <w:szCs w:val="24"/>
        </w:rPr>
        <w:t xml:space="preserve"> century rise of China, may alter leaders’ alliance and international political cooperation preferences </w:t>
      </w:r>
      <w:r w:rsidR="00FC5D4F">
        <w:rPr>
          <w:rFonts w:cs="Times New Roman"/>
          <w:szCs w:val="24"/>
        </w:rPr>
        <w:t>across a range of specific issue arenas</w:t>
      </w:r>
      <w:r w:rsidR="00985DAB">
        <w:rPr>
          <w:rFonts w:cs="Times New Roman"/>
          <w:szCs w:val="24"/>
        </w:rPr>
        <w:t xml:space="preserve">. For example, the peculiar international club of the BRICS (Brazil, Russia, India, China, and South Africa) arose when a group of rising powers, heterogeneous in geographic region, domestic political system, </w:t>
      </w:r>
      <w:r w:rsidR="00190036">
        <w:rPr>
          <w:rFonts w:cs="Times New Roman"/>
          <w:szCs w:val="24"/>
        </w:rPr>
        <w:t xml:space="preserve">and </w:t>
      </w:r>
      <w:r w:rsidR="00985DAB">
        <w:rPr>
          <w:rFonts w:cs="Times New Roman"/>
          <w:szCs w:val="24"/>
        </w:rPr>
        <w:t>form of international economic insertion</w:t>
      </w:r>
      <w:r w:rsidR="00190036">
        <w:rPr>
          <w:rFonts w:cs="Times New Roman"/>
          <w:szCs w:val="24"/>
        </w:rPr>
        <w:t xml:space="preserve"> joined in order to promote their collective global influence, particularly in the realm of global monetary and financial governance</w:t>
      </w:r>
      <w:r w:rsidR="00FC5D4F">
        <w:rPr>
          <w:rFonts w:cs="Times New Roman"/>
          <w:szCs w:val="24"/>
        </w:rPr>
        <w:t xml:space="preserve"> </w:t>
      </w:r>
      <w:r w:rsidR="007B041D" w:rsidRPr="004B63EC">
        <w:rPr>
          <w:rFonts w:cs="Times New Roman"/>
          <w:szCs w:val="24"/>
        </w:rPr>
        <w:t xml:space="preserve">(Roberts, Armijo, and </w:t>
      </w:r>
      <w:proofErr w:type="spellStart"/>
      <w:r w:rsidR="007B041D" w:rsidRPr="004B63EC">
        <w:rPr>
          <w:rFonts w:cs="Times New Roman"/>
          <w:szCs w:val="24"/>
        </w:rPr>
        <w:t>Katada</w:t>
      </w:r>
      <w:proofErr w:type="spellEnd"/>
      <w:r w:rsidR="007B041D" w:rsidRPr="004B63EC">
        <w:rPr>
          <w:rFonts w:cs="Times New Roman"/>
          <w:szCs w:val="24"/>
        </w:rPr>
        <w:t xml:space="preserve"> 2018).</w:t>
      </w:r>
      <w:r w:rsidR="00190036">
        <w:rPr>
          <w:rFonts w:cs="Times New Roman"/>
          <w:szCs w:val="24"/>
        </w:rPr>
        <w:t xml:space="preserve"> Issue arena a</w:t>
      </w:r>
      <w:r w:rsidR="00FC5D4F">
        <w:rPr>
          <w:rFonts w:cs="Times New Roman"/>
          <w:szCs w:val="24"/>
        </w:rPr>
        <w:t>nalyses that do not take the larger international political environment into acco</w:t>
      </w:r>
      <w:r w:rsidR="00190036">
        <w:rPr>
          <w:rFonts w:cs="Times New Roman"/>
          <w:szCs w:val="24"/>
        </w:rPr>
        <w:t xml:space="preserve">unt </w:t>
      </w:r>
      <w:r w:rsidR="00FC5D4F">
        <w:rPr>
          <w:rFonts w:cs="Times New Roman"/>
          <w:szCs w:val="24"/>
        </w:rPr>
        <w:t xml:space="preserve">thus </w:t>
      </w:r>
      <w:r w:rsidR="00190036">
        <w:rPr>
          <w:rFonts w:cs="Times New Roman"/>
          <w:szCs w:val="24"/>
        </w:rPr>
        <w:t xml:space="preserve">may </w:t>
      </w:r>
      <w:r w:rsidR="00FC5D4F">
        <w:rPr>
          <w:rFonts w:cs="Times New Roman"/>
          <w:szCs w:val="24"/>
        </w:rPr>
        <w:t>miss many of the drivers of national policy choices</w:t>
      </w:r>
      <w:r w:rsidR="00CC6DA4">
        <w:rPr>
          <w:rFonts w:cs="Times New Roman"/>
          <w:szCs w:val="24"/>
        </w:rPr>
        <w:t xml:space="preserve"> about regional cooperation on specific issues</w:t>
      </w:r>
      <w:r w:rsidR="00FC5D4F">
        <w:rPr>
          <w:rFonts w:cs="Times New Roman"/>
          <w:szCs w:val="24"/>
        </w:rPr>
        <w:t>.</w:t>
      </w:r>
    </w:p>
    <w:p w14:paraId="5EA94BD5" w14:textId="77777777" w:rsidR="00FC5D4F" w:rsidRPr="004B63EC" w:rsidRDefault="00FC5D4F" w:rsidP="00BE7DEA">
      <w:pPr>
        <w:autoSpaceDE w:val="0"/>
        <w:autoSpaceDN w:val="0"/>
        <w:adjustRightInd w:val="0"/>
        <w:rPr>
          <w:rFonts w:cs="Times New Roman"/>
          <w:szCs w:val="24"/>
        </w:rPr>
      </w:pPr>
    </w:p>
    <w:p w14:paraId="06254B7A" w14:textId="40E98345" w:rsidR="004B5A25" w:rsidRPr="004B63EC" w:rsidRDefault="00CC6DA4" w:rsidP="00BE7DEA">
      <w:pPr>
        <w:autoSpaceDE w:val="0"/>
        <w:autoSpaceDN w:val="0"/>
        <w:adjustRightInd w:val="0"/>
        <w:rPr>
          <w:rFonts w:cs="Times New Roman"/>
          <w:szCs w:val="24"/>
        </w:rPr>
      </w:pPr>
      <w:r>
        <w:rPr>
          <w:rFonts w:cs="Times New Roman"/>
          <w:szCs w:val="24"/>
        </w:rPr>
        <w:tab/>
        <w:t xml:space="preserve">This project </w:t>
      </w:r>
      <w:r w:rsidR="00597746">
        <w:rPr>
          <w:rFonts w:cs="Times New Roman"/>
          <w:szCs w:val="24"/>
        </w:rPr>
        <w:t>this broad second analytical category</w:t>
      </w:r>
      <w:r w:rsidR="00D12168">
        <w:rPr>
          <w:rFonts w:cs="Times New Roman"/>
          <w:szCs w:val="24"/>
        </w:rPr>
        <w:t>--power politics--</w:t>
      </w:r>
      <w:r w:rsidR="0079712A" w:rsidRPr="004B63EC">
        <w:rPr>
          <w:rFonts w:cs="Times New Roman"/>
          <w:szCs w:val="24"/>
        </w:rPr>
        <w:t xml:space="preserve">also </w:t>
      </w:r>
      <w:r w:rsidR="00190036">
        <w:rPr>
          <w:rFonts w:cs="Times New Roman"/>
          <w:szCs w:val="24"/>
        </w:rPr>
        <w:t>to include</w:t>
      </w:r>
      <w:r w:rsidR="0079712A" w:rsidRPr="004B63EC">
        <w:rPr>
          <w:rFonts w:cs="Times New Roman"/>
          <w:szCs w:val="24"/>
        </w:rPr>
        <w:t xml:space="preserve"> the sources </w:t>
      </w:r>
      <w:r w:rsidR="00F16AE3" w:rsidRPr="004B63EC">
        <w:rPr>
          <w:rFonts w:cs="Times New Roman"/>
          <w:szCs w:val="24"/>
        </w:rPr>
        <w:t>of countries’ foreign polic</w:t>
      </w:r>
      <w:r w:rsidR="007B041D" w:rsidRPr="004B63EC">
        <w:rPr>
          <w:rFonts w:cs="Times New Roman"/>
          <w:szCs w:val="24"/>
        </w:rPr>
        <w:t xml:space="preserve">ies in </w:t>
      </w:r>
      <w:r w:rsidR="00F16AE3" w:rsidRPr="004B63EC">
        <w:rPr>
          <w:rFonts w:cs="Times New Roman"/>
          <w:szCs w:val="24"/>
        </w:rPr>
        <w:t xml:space="preserve">their </w:t>
      </w:r>
      <w:r w:rsidR="0079712A" w:rsidRPr="004B63EC">
        <w:rPr>
          <w:rFonts w:cs="Times New Roman"/>
          <w:szCs w:val="24"/>
        </w:rPr>
        <w:t>leaders’ needs for domestic political support</w:t>
      </w:r>
      <w:r w:rsidR="00597746">
        <w:rPr>
          <w:rFonts w:cs="Times New Roman"/>
          <w:szCs w:val="24"/>
        </w:rPr>
        <w:t>. T</w:t>
      </w:r>
      <w:r w:rsidR="00FC5D4F">
        <w:rPr>
          <w:rFonts w:cs="Times New Roman"/>
          <w:szCs w:val="24"/>
        </w:rPr>
        <w:t>his is the realm of comparative politics and political economy</w:t>
      </w:r>
      <w:r w:rsidR="00140196">
        <w:rPr>
          <w:rFonts w:cs="Times New Roman"/>
          <w:szCs w:val="24"/>
        </w:rPr>
        <w:t xml:space="preserve"> influencing international cooperation choices</w:t>
      </w:r>
      <w:r w:rsidR="0079712A" w:rsidRPr="004B63EC">
        <w:rPr>
          <w:rFonts w:cs="Times New Roman"/>
          <w:szCs w:val="24"/>
        </w:rPr>
        <w:t xml:space="preserve">. </w:t>
      </w:r>
      <w:r w:rsidR="007A1CF8" w:rsidRPr="004B63EC">
        <w:rPr>
          <w:rFonts w:cs="Times New Roman"/>
          <w:szCs w:val="24"/>
        </w:rPr>
        <w:t>Here the nature of a country’s</w:t>
      </w:r>
      <w:r w:rsidR="007B041D" w:rsidRPr="004B63EC">
        <w:rPr>
          <w:rFonts w:cs="Times New Roman"/>
          <w:szCs w:val="24"/>
        </w:rPr>
        <w:t xml:space="preserve"> national</w:t>
      </w:r>
      <w:r w:rsidR="007A1CF8" w:rsidRPr="004B63EC">
        <w:rPr>
          <w:rFonts w:cs="Times New Roman"/>
          <w:szCs w:val="24"/>
        </w:rPr>
        <w:t xml:space="preserve"> political </w:t>
      </w:r>
      <w:r w:rsidR="00597746">
        <w:rPr>
          <w:rFonts w:cs="Times New Roman"/>
          <w:szCs w:val="24"/>
        </w:rPr>
        <w:t xml:space="preserve">or economic </w:t>
      </w:r>
      <w:r w:rsidR="007A1CF8" w:rsidRPr="004B63EC">
        <w:rPr>
          <w:rFonts w:cs="Times New Roman"/>
          <w:szCs w:val="24"/>
        </w:rPr>
        <w:t>system</w:t>
      </w:r>
      <w:r w:rsidR="00ED6F1E">
        <w:rPr>
          <w:rFonts w:cs="Times New Roman"/>
          <w:szCs w:val="24"/>
        </w:rPr>
        <w:t xml:space="preserve">, </w:t>
      </w:r>
      <w:r w:rsidR="00333718">
        <w:rPr>
          <w:rFonts w:cs="Times New Roman"/>
          <w:szCs w:val="24"/>
        </w:rPr>
        <w:t>which may empower certain classes, sectors, or interest groups, may alter national leaders’ foreign policy preferences. For example, i</w:t>
      </w:r>
      <w:r w:rsidR="00333718" w:rsidRPr="004B63EC">
        <w:rPr>
          <w:rFonts w:cs="Times New Roman"/>
          <w:szCs w:val="24"/>
        </w:rPr>
        <w:t xml:space="preserve">n a country with a weak civilian government dependent on the continued support of the military officer corps, certain policy choices, even if they might appear to provide clear net benefits for the civilian population, may be political suicide for any civilian incumbent. </w:t>
      </w:r>
      <w:r w:rsidR="00333718">
        <w:rPr>
          <w:rFonts w:cs="Times New Roman"/>
          <w:szCs w:val="24"/>
        </w:rPr>
        <w:t>Thus</w:t>
      </w:r>
      <w:r w:rsidR="00333718" w:rsidRPr="004B63EC">
        <w:rPr>
          <w:rFonts w:cs="Times New Roman"/>
          <w:szCs w:val="24"/>
        </w:rPr>
        <w:t xml:space="preserve">, in Pakistan, civilian leaders who have attempted to deescalate border tensions with the </w:t>
      </w:r>
      <w:proofErr w:type="gramStart"/>
      <w:r w:rsidR="00333718" w:rsidRPr="004B63EC">
        <w:rPr>
          <w:rFonts w:cs="Times New Roman"/>
          <w:szCs w:val="24"/>
        </w:rPr>
        <w:t>country’s</w:t>
      </w:r>
      <w:proofErr w:type="gramEnd"/>
      <w:r w:rsidR="00333718" w:rsidRPr="004B63EC">
        <w:rPr>
          <w:rFonts w:cs="Times New Roman"/>
          <w:szCs w:val="24"/>
        </w:rPr>
        <w:t xml:space="preserve"> larger, more powerful neighbor, India, have routinely </w:t>
      </w:r>
      <w:r w:rsidR="00333718">
        <w:rPr>
          <w:rFonts w:cs="Times New Roman"/>
          <w:szCs w:val="24"/>
        </w:rPr>
        <w:t xml:space="preserve">confronted </w:t>
      </w:r>
      <w:r w:rsidR="00333718" w:rsidRPr="004B63EC">
        <w:rPr>
          <w:rFonts w:cs="Times New Roman"/>
          <w:szCs w:val="24"/>
        </w:rPr>
        <w:t>military coups</w:t>
      </w:r>
      <w:r w:rsidR="00333718">
        <w:rPr>
          <w:rFonts w:cs="Times New Roman"/>
          <w:szCs w:val="24"/>
        </w:rPr>
        <w:t xml:space="preserve"> against them</w:t>
      </w:r>
      <w:r w:rsidR="00333718" w:rsidRPr="004B63EC">
        <w:rPr>
          <w:rFonts w:cs="Times New Roman"/>
          <w:szCs w:val="24"/>
        </w:rPr>
        <w:t>.</w:t>
      </w:r>
      <w:r w:rsidR="00333718">
        <w:rPr>
          <w:rFonts w:cs="Times New Roman"/>
          <w:szCs w:val="24"/>
        </w:rPr>
        <w:t xml:space="preserve"> In a related dynamic, a country’s </w:t>
      </w:r>
      <w:r w:rsidR="00ED6F1E">
        <w:rPr>
          <w:rFonts w:cs="Times New Roman"/>
          <w:szCs w:val="24"/>
        </w:rPr>
        <w:t>form of insertion into the global economy</w:t>
      </w:r>
      <w:r w:rsidR="00333718">
        <w:rPr>
          <w:rFonts w:cs="Times New Roman"/>
          <w:szCs w:val="24"/>
        </w:rPr>
        <w:t>,</w:t>
      </w:r>
      <w:r w:rsidR="00ED6F1E">
        <w:rPr>
          <w:rFonts w:cs="Times New Roman"/>
          <w:szCs w:val="24"/>
        </w:rPr>
        <w:t xml:space="preserve"> as of a particular date,</w:t>
      </w:r>
      <w:r w:rsidR="00597746">
        <w:rPr>
          <w:rFonts w:cs="Times New Roman"/>
          <w:szCs w:val="24"/>
        </w:rPr>
        <w:t xml:space="preserve"> may make an important </w:t>
      </w:r>
      <w:r w:rsidR="007A1CF8" w:rsidRPr="004B63EC">
        <w:rPr>
          <w:rFonts w:cs="Times New Roman"/>
          <w:szCs w:val="24"/>
        </w:rPr>
        <w:t>difference</w:t>
      </w:r>
      <w:r w:rsidR="00FC5D4F">
        <w:rPr>
          <w:rFonts w:cs="Times New Roman"/>
          <w:szCs w:val="24"/>
        </w:rPr>
        <w:t xml:space="preserve"> in its leader’s </w:t>
      </w:r>
      <w:r w:rsidR="00ED6F1E">
        <w:rPr>
          <w:rFonts w:cs="Times New Roman"/>
          <w:szCs w:val="24"/>
        </w:rPr>
        <w:t xml:space="preserve">subsequent </w:t>
      </w:r>
      <w:r w:rsidR="00FC5D4F">
        <w:rPr>
          <w:rFonts w:cs="Times New Roman"/>
          <w:szCs w:val="24"/>
        </w:rPr>
        <w:t>foreign policy preferences</w:t>
      </w:r>
      <w:r w:rsidR="00597746">
        <w:rPr>
          <w:rFonts w:cs="Times New Roman"/>
          <w:szCs w:val="24"/>
        </w:rPr>
        <w:t xml:space="preserve">, especially in global economic governance </w:t>
      </w:r>
      <w:r w:rsidR="00140196">
        <w:rPr>
          <w:rFonts w:cs="Times New Roman"/>
          <w:szCs w:val="24"/>
        </w:rPr>
        <w:t xml:space="preserve">(as in </w:t>
      </w:r>
      <w:proofErr w:type="spellStart"/>
      <w:r w:rsidR="00140196">
        <w:rPr>
          <w:rFonts w:cs="Times New Roman"/>
          <w:szCs w:val="24"/>
        </w:rPr>
        <w:t>Rogowski</w:t>
      </w:r>
      <w:proofErr w:type="spellEnd"/>
      <w:r w:rsidR="00ED6F1E">
        <w:rPr>
          <w:rFonts w:cs="Times New Roman"/>
          <w:szCs w:val="24"/>
        </w:rPr>
        <w:t xml:space="preserve"> 1990</w:t>
      </w:r>
      <w:r w:rsidR="00597746">
        <w:rPr>
          <w:rFonts w:cs="Times New Roman"/>
          <w:szCs w:val="24"/>
        </w:rPr>
        <w:t xml:space="preserve">; </w:t>
      </w:r>
      <w:proofErr w:type="spellStart"/>
      <w:r w:rsidR="00597746">
        <w:rPr>
          <w:rFonts w:cs="Times New Roman"/>
          <w:szCs w:val="24"/>
        </w:rPr>
        <w:t>Frieden</w:t>
      </w:r>
      <w:proofErr w:type="spellEnd"/>
      <w:r w:rsidR="00ED6F1E">
        <w:rPr>
          <w:rFonts w:cs="Times New Roman"/>
          <w:szCs w:val="24"/>
        </w:rPr>
        <w:t xml:space="preserve"> </w:t>
      </w:r>
      <w:r w:rsidR="00333718">
        <w:rPr>
          <w:rFonts w:cs="Times New Roman"/>
          <w:szCs w:val="24"/>
        </w:rPr>
        <w:t>and Stein 2001</w:t>
      </w:r>
      <w:r w:rsidR="00140196">
        <w:rPr>
          <w:rFonts w:cs="Times New Roman"/>
          <w:szCs w:val="24"/>
        </w:rPr>
        <w:t>). Another classic phenomenon illustrating how a leaders’ domestic political support needs may thei</w:t>
      </w:r>
      <w:r w:rsidR="00333718">
        <w:rPr>
          <w:rFonts w:cs="Times New Roman"/>
          <w:szCs w:val="24"/>
        </w:rPr>
        <w:t>r foreign policy choices is the all too common practice of leaders suffering criticism at home</w:t>
      </w:r>
      <w:r w:rsidR="00140196">
        <w:rPr>
          <w:rFonts w:cs="Times New Roman"/>
          <w:szCs w:val="24"/>
        </w:rPr>
        <w:t xml:space="preserve"> of </w:t>
      </w:r>
      <w:r w:rsidR="00333718">
        <w:rPr>
          <w:rFonts w:cs="Times New Roman"/>
          <w:szCs w:val="24"/>
        </w:rPr>
        <w:t>choosing to deflect</w:t>
      </w:r>
      <w:r w:rsidR="00140196">
        <w:rPr>
          <w:rFonts w:cs="Times New Roman"/>
          <w:szCs w:val="24"/>
        </w:rPr>
        <w:t xml:space="preserve"> d</w:t>
      </w:r>
      <w:r w:rsidR="00333718">
        <w:rPr>
          <w:rFonts w:cs="Times New Roman"/>
          <w:szCs w:val="24"/>
        </w:rPr>
        <w:t>omestic anger and frustration toward</w:t>
      </w:r>
      <w:r w:rsidR="00140196">
        <w:rPr>
          <w:rFonts w:cs="Times New Roman"/>
          <w:szCs w:val="24"/>
        </w:rPr>
        <w:t xml:space="preserve"> a foreign “enemy,” whose crimes may be imagined or exaggerated. </w:t>
      </w:r>
      <w:r w:rsidR="007B041D" w:rsidRPr="004B63EC">
        <w:rPr>
          <w:rFonts w:cs="Times New Roman"/>
          <w:szCs w:val="24"/>
        </w:rPr>
        <w:t>Thus</w:t>
      </w:r>
      <w:r w:rsidR="00333718">
        <w:rPr>
          <w:rFonts w:cs="Times New Roman"/>
          <w:szCs w:val="24"/>
        </w:rPr>
        <w:t xml:space="preserve"> in early 2020</w:t>
      </w:r>
      <w:r w:rsidR="007B041D" w:rsidRPr="004B63EC">
        <w:rPr>
          <w:rFonts w:cs="Times New Roman"/>
          <w:szCs w:val="24"/>
        </w:rPr>
        <w:t xml:space="preserve">, both Presidents </w:t>
      </w:r>
      <w:r w:rsidR="00333718">
        <w:rPr>
          <w:rFonts w:cs="Times New Roman"/>
          <w:szCs w:val="24"/>
        </w:rPr>
        <w:t xml:space="preserve">Donald </w:t>
      </w:r>
      <w:r w:rsidR="007B041D" w:rsidRPr="004B63EC">
        <w:rPr>
          <w:rFonts w:cs="Times New Roman"/>
          <w:szCs w:val="24"/>
        </w:rPr>
        <w:t xml:space="preserve">Trump and Xi </w:t>
      </w:r>
      <w:r w:rsidR="00333718">
        <w:rPr>
          <w:rFonts w:cs="Times New Roman"/>
          <w:szCs w:val="24"/>
        </w:rPr>
        <w:t xml:space="preserve">Jinping </w:t>
      </w:r>
      <w:r w:rsidR="007B041D" w:rsidRPr="004B63EC">
        <w:rPr>
          <w:rFonts w:cs="Times New Roman"/>
          <w:szCs w:val="24"/>
        </w:rPr>
        <w:t xml:space="preserve">may have </w:t>
      </w:r>
      <w:r w:rsidR="00333718">
        <w:rPr>
          <w:rFonts w:cs="Times New Roman"/>
          <w:szCs w:val="24"/>
        </w:rPr>
        <w:t xml:space="preserve">had </w:t>
      </w:r>
      <w:r w:rsidR="007B041D" w:rsidRPr="004B63EC">
        <w:rPr>
          <w:rFonts w:cs="Times New Roman"/>
          <w:szCs w:val="24"/>
        </w:rPr>
        <w:t>domestic political incentives to blame the other</w:t>
      </w:r>
      <w:r w:rsidR="00140196">
        <w:rPr>
          <w:rFonts w:cs="Times New Roman"/>
          <w:szCs w:val="24"/>
        </w:rPr>
        <w:t xml:space="preserve"> (or the World Health Organization)</w:t>
      </w:r>
      <w:r w:rsidR="007B041D" w:rsidRPr="004B63EC">
        <w:rPr>
          <w:rFonts w:cs="Times New Roman"/>
          <w:szCs w:val="24"/>
        </w:rPr>
        <w:t xml:space="preserve"> for failures to control the </w:t>
      </w:r>
      <w:r w:rsidR="00140196">
        <w:rPr>
          <w:rFonts w:cs="Times New Roman"/>
          <w:szCs w:val="24"/>
        </w:rPr>
        <w:t xml:space="preserve">Covid-19 </w:t>
      </w:r>
      <w:r w:rsidR="007B041D" w:rsidRPr="004B63EC">
        <w:rPr>
          <w:rFonts w:cs="Times New Roman"/>
          <w:szCs w:val="24"/>
        </w:rPr>
        <w:t xml:space="preserve">pandemic. </w:t>
      </w:r>
      <w:r w:rsidR="00333718">
        <w:rPr>
          <w:rFonts w:cs="Times New Roman"/>
          <w:szCs w:val="24"/>
        </w:rPr>
        <w:t xml:space="preserve">This dynamic then had negative implications for global cooperation on vaccine development. </w:t>
      </w:r>
      <w:r w:rsidR="007B041D" w:rsidRPr="004B63EC">
        <w:rPr>
          <w:rFonts w:cs="Times New Roman"/>
          <w:szCs w:val="24"/>
        </w:rPr>
        <w:t xml:space="preserve">Domestic politics also may dictate how leaders integrate into global financial networks, including from whom </w:t>
      </w:r>
      <w:r w:rsidR="00446F38">
        <w:rPr>
          <w:rFonts w:cs="Times New Roman"/>
          <w:szCs w:val="24"/>
        </w:rPr>
        <w:t xml:space="preserve">or through what institutional mechanism </w:t>
      </w:r>
      <w:r w:rsidR="007B041D" w:rsidRPr="004B63EC">
        <w:rPr>
          <w:rFonts w:cs="Times New Roman"/>
          <w:szCs w:val="24"/>
        </w:rPr>
        <w:t xml:space="preserve">they choose to borrow </w:t>
      </w:r>
      <w:r w:rsidR="00446F38">
        <w:rPr>
          <w:rFonts w:cs="Times New Roman"/>
          <w:szCs w:val="24"/>
        </w:rPr>
        <w:t xml:space="preserve">abroad </w:t>
      </w:r>
      <w:r w:rsidR="007B041D" w:rsidRPr="004B63EC">
        <w:rPr>
          <w:rFonts w:cs="Times New Roman"/>
          <w:szCs w:val="24"/>
        </w:rPr>
        <w:t>(</w:t>
      </w:r>
      <w:proofErr w:type="spellStart"/>
      <w:r w:rsidR="007B041D" w:rsidRPr="004B63EC">
        <w:rPr>
          <w:rFonts w:cs="Times New Roman"/>
          <w:szCs w:val="24"/>
        </w:rPr>
        <w:t>Bunte</w:t>
      </w:r>
      <w:proofErr w:type="spellEnd"/>
      <w:r w:rsidR="007B041D" w:rsidRPr="004B63EC">
        <w:rPr>
          <w:rFonts w:cs="Times New Roman"/>
          <w:szCs w:val="24"/>
        </w:rPr>
        <w:t xml:space="preserve"> 2018). </w:t>
      </w:r>
      <w:r w:rsidR="0071110C" w:rsidRPr="004B63EC">
        <w:rPr>
          <w:rFonts w:cs="Times New Roman"/>
          <w:szCs w:val="24"/>
        </w:rPr>
        <w:t xml:space="preserve">While our first category of approaches to explaining </w:t>
      </w:r>
      <w:r w:rsidR="00FD7DCB" w:rsidRPr="004B63EC">
        <w:rPr>
          <w:rFonts w:cs="Times New Roman"/>
          <w:szCs w:val="24"/>
        </w:rPr>
        <w:t xml:space="preserve">international </w:t>
      </w:r>
      <w:r w:rsidR="0071110C" w:rsidRPr="004B63EC">
        <w:rPr>
          <w:rFonts w:cs="Times New Roman"/>
          <w:szCs w:val="24"/>
        </w:rPr>
        <w:t xml:space="preserve">cooperation hones in on the characteristics of the </w:t>
      </w:r>
      <w:r w:rsidR="00446F38">
        <w:rPr>
          <w:rFonts w:cs="Times New Roman"/>
          <w:szCs w:val="24"/>
        </w:rPr>
        <w:t>specific policy issue arena, this</w:t>
      </w:r>
      <w:r w:rsidR="0071110C" w:rsidRPr="004B63EC">
        <w:rPr>
          <w:rFonts w:cs="Times New Roman"/>
          <w:szCs w:val="24"/>
        </w:rPr>
        <w:t xml:space="preserve"> second category </w:t>
      </w:r>
      <w:r w:rsidR="00BC01DD" w:rsidRPr="004B63EC">
        <w:rPr>
          <w:rFonts w:cs="Times New Roman"/>
          <w:szCs w:val="24"/>
        </w:rPr>
        <w:t xml:space="preserve">instead </w:t>
      </w:r>
      <w:r w:rsidR="001C53BF" w:rsidRPr="004B63EC">
        <w:rPr>
          <w:rFonts w:cs="Times New Roman"/>
          <w:szCs w:val="24"/>
        </w:rPr>
        <w:t xml:space="preserve">focuses on the overall political situation of each country’s leader. </w:t>
      </w:r>
    </w:p>
    <w:p w14:paraId="5FCD468F" w14:textId="77777777" w:rsidR="004B5A25" w:rsidRPr="004B63EC" w:rsidRDefault="004B5A25" w:rsidP="00BE7DEA">
      <w:pPr>
        <w:autoSpaceDE w:val="0"/>
        <w:autoSpaceDN w:val="0"/>
        <w:adjustRightInd w:val="0"/>
        <w:rPr>
          <w:rFonts w:cs="Times New Roman"/>
          <w:szCs w:val="24"/>
        </w:rPr>
      </w:pPr>
    </w:p>
    <w:p w14:paraId="2700E5D7" w14:textId="43F5F3BB" w:rsidR="005F7BD4" w:rsidRDefault="004B5A25" w:rsidP="00BE7DEA">
      <w:pPr>
        <w:autoSpaceDE w:val="0"/>
        <w:autoSpaceDN w:val="0"/>
        <w:adjustRightInd w:val="0"/>
        <w:rPr>
          <w:rFonts w:cs="Times New Roman"/>
          <w:szCs w:val="24"/>
        </w:rPr>
      </w:pPr>
      <w:r w:rsidRPr="004B63EC">
        <w:rPr>
          <w:rFonts w:cs="Times New Roman"/>
          <w:szCs w:val="24"/>
        </w:rPr>
        <w:tab/>
      </w:r>
      <w:r w:rsidR="00D12168">
        <w:rPr>
          <w:rFonts w:cs="Times New Roman"/>
          <w:szCs w:val="24"/>
        </w:rPr>
        <w:t xml:space="preserve">The third broad analytical current for </w:t>
      </w:r>
      <w:r w:rsidR="00D12168" w:rsidRPr="004B63EC">
        <w:rPr>
          <w:rFonts w:cs="Times New Roman"/>
          <w:szCs w:val="24"/>
        </w:rPr>
        <w:t xml:space="preserve">studying global governance arenas, which we label </w:t>
      </w:r>
      <w:r w:rsidR="00D12168" w:rsidRPr="004B63EC">
        <w:rPr>
          <w:rFonts w:cs="Times New Roman"/>
          <w:i/>
          <w:szCs w:val="24"/>
        </w:rPr>
        <w:t>norm entrepreneurs</w:t>
      </w:r>
      <w:r w:rsidR="00D12168" w:rsidRPr="004B63EC">
        <w:rPr>
          <w:rFonts w:cs="Times New Roman"/>
          <w:szCs w:val="24"/>
        </w:rPr>
        <w:t>, prioritizes the investigation of normative</w:t>
      </w:r>
      <w:r w:rsidR="00D12168">
        <w:rPr>
          <w:rFonts w:cs="Times New Roman"/>
          <w:szCs w:val="24"/>
        </w:rPr>
        <w:t>, cognitive, ideological, or perceptual</w:t>
      </w:r>
      <w:r w:rsidR="00D12168" w:rsidRPr="004B63EC">
        <w:rPr>
          <w:rFonts w:cs="Times New Roman"/>
          <w:szCs w:val="24"/>
        </w:rPr>
        <w:t xml:space="preserve"> shifts resulting from the activities of policy entrepreneurs. </w:t>
      </w:r>
      <w:r w:rsidR="00D12168">
        <w:rPr>
          <w:rFonts w:cs="Times New Roman"/>
          <w:szCs w:val="24"/>
        </w:rPr>
        <w:t xml:space="preserve">Policy entrepreneurs are </w:t>
      </w:r>
      <w:r w:rsidR="00D12168" w:rsidRPr="004B63EC">
        <w:rPr>
          <w:rFonts w:cs="Times New Roman"/>
          <w:szCs w:val="24"/>
        </w:rPr>
        <w:t xml:space="preserve">would-be global governors who seek to “induce deference in others” by some combination of “institutional, delegated, expert, principled, and capacity-based authority” (Avant, </w:t>
      </w:r>
      <w:proofErr w:type="spellStart"/>
      <w:r w:rsidR="00D12168" w:rsidRPr="004B63EC">
        <w:rPr>
          <w:rFonts w:cs="Times New Roman"/>
          <w:szCs w:val="24"/>
        </w:rPr>
        <w:t>Finnemore</w:t>
      </w:r>
      <w:proofErr w:type="spellEnd"/>
      <w:r w:rsidR="00D12168" w:rsidRPr="004B63EC">
        <w:rPr>
          <w:rFonts w:cs="Times New Roman"/>
          <w:szCs w:val="24"/>
        </w:rPr>
        <w:t>, and Sell 2012: 2</w:t>
      </w:r>
      <w:proofErr w:type="gramStart"/>
      <w:r w:rsidR="00D12168" w:rsidRPr="004B63EC">
        <w:rPr>
          <w:rFonts w:cs="Times New Roman"/>
          <w:szCs w:val="24"/>
        </w:rPr>
        <w:t>,9,11</w:t>
      </w:r>
      <w:proofErr w:type="gramEnd"/>
      <w:r w:rsidR="00D12168">
        <w:rPr>
          <w:rFonts w:cs="Times New Roman"/>
          <w:szCs w:val="24"/>
        </w:rPr>
        <w:t>;</w:t>
      </w:r>
      <w:r w:rsidR="00D12168" w:rsidRPr="004B63EC">
        <w:rPr>
          <w:rFonts w:cs="Times New Roman"/>
          <w:szCs w:val="24"/>
        </w:rPr>
        <w:t xml:space="preserve"> </w:t>
      </w:r>
      <w:proofErr w:type="spellStart"/>
      <w:r w:rsidR="00D12168" w:rsidRPr="004B63EC">
        <w:rPr>
          <w:rFonts w:cs="Times New Roman"/>
          <w:szCs w:val="24"/>
        </w:rPr>
        <w:t>Fraundorfer</w:t>
      </w:r>
      <w:proofErr w:type="spellEnd"/>
      <w:r w:rsidR="00D12168" w:rsidRPr="004B63EC">
        <w:rPr>
          <w:rFonts w:cs="Times New Roman"/>
          <w:szCs w:val="24"/>
        </w:rPr>
        <w:t xml:space="preserve"> 2017; </w:t>
      </w:r>
      <w:proofErr w:type="spellStart"/>
      <w:r w:rsidR="00D12168" w:rsidRPr="004B63EC">
        <w:rPr>
          <w:rFonts w:cs="Times New Roman"/>
          <w:szCs w:val="24"/>
        </w:rPr>
        <w:t>Zürn</w:t>
      </w:r>
      <w:proofErr w:type="spellEnd"/>
      <w:r w:rsidR="00D12168" w:rsidRPr="004B63EC">
        <w:rPr>
          <w:rFonts w:cs="Times New Roman"/>
          <w:szCs w:val="24"/>
        </w:rPr>
        <w:t xml:space="preserve"> 2018).</w:t>
      </w:r>
      <w:r w:rsidR="00D12168" w:rsidRPr="004B63EC">
        <w:rPr>
          <w:rStyle w:val="FootnoteReference"/>
          <w:rFonts w:cs="Times New Roman"/>
          <w:szCs w:val="24"/>
        </w:rPr>
        <w:footnoteReference w:id="8"/>
      </w:r>
      <w:r w:rsidR="00D12168" w:rsidRPr="004B63EC">
        <w:rPr>
          <w:rFonts w:cs="Times New Roman"/>
          <w:szCs w:val="24"/>
        </w:rPr>
        <w:t xml:space="preserve"> This approach differs from the earlier two categories, but especially the second, in attending closely to transnational actors and processes who may construct “facts on the ground,” often before national political leaders are even paying close attention.</w:t>
      </w:r>
      <w:r w:rsidR="00D12168">
        <w:rPr>
          <w:rFonts w:cs="Times New Roman"/>
          <w:szCs w:val="24"/>
        </w:rPr>
        <w:t xml:space="preserve"> </w:t>
      </w:r>
      <w:r w:rsidR="00E141FB" w:rsidRPr="004B63EC">
        <w:rPr>
          <w:rFonts w:cs="Times New Roman"/>
          <w:szCs w:val="24"/>
        </w:rPr>
        <w:t>The</w:t>
      </w:r>
      <w:r w:rsidR="00F16AE3" w:rsidRPr="004B63EC">
        <w:rPr>
          <w:rFonts w:cs="Times New Roman"/>
          <w:szCs w:val="24"/>
        </w:rPr>
        <w:t xml:space="preserve"> third </w:t>
      </w:r>
      <w:r w:rsidR="00E141FB" w:rsidRPr="004B63EC">
        <w:rPr>
          <w:rFonts w:cs="Times New Roman"/>
          <w:szCs w:val="24"/>
        </w:rPr>
        <w:t xml:space="preserve">broad </w:t>
      </w:r>
      <w:r w:rsidR="00F16AE3" w:rsidRPr="004B63EC">
        <w:rPr>
          <w:rFonts w:cs="Times New Roman"/>
          <w:szCs w:val="24"/>
        </w:rPr>
        <w:t>approach</w:t>
      </w:r>
      <w:r w:rsidR="00E141FB" w:rsidRPr="004B63EC">
        <w:rPr>
          <w:rFonts w:cs="Times New Roman"/>
          <w:szCs w:val="24"/>
        </w:rPr>
        <w:t xml:space="preserve"> </w:t>
      </w:r>
      <w:r w:rsidR="005F7BD4">
        <w:rPr>
          <w:rFonts w:cs="Times New Roman"/>
          <w:szCs w:val="24"/>
        </w:rPr>
        <w:t>problematizes states’</w:t>
      </w:r>
      <w:r w:rsidR="00D12168">
        <w:rPr>
          <w:rFonts w:cs="Times New Roman"/>
          <w:szCs w:val="24"/>
        </w:rPr>
        <w:t xml:space="preserve"> </w:t>
      </w:r>
      <w:r w:rsidR="005F7BD4">
        <w:rPr>
          <w:rFonts w:cs="Times New Roman"/>
          <w:szCs w:val="24"/>
        </w:rPr>
        <w:t xml:space="preserve">specific </w:t>
      </w:r>
      <w:r w:rsidR="00D12168">
        <w:rPr>
          <w:rFonts w:cs="Times New Roman"/>
          <w:szCs w:val="24"/>
        </w:rPr>
        <w:t>preferences</w:t>
      </w:r>
      <w:r w:rsidR="005F7BD4">
        <w:rPr>
          <w:rFonts w:cs="Times New Roman"/>
          <w:szCs w:val="24"/>
        </w:rPr>
        <w:t xml:space="preserve"> for particular issue arena outcomes</w:t>
      </w:r>
      <w:r w:rsidR="00D12168">
        <w:rPr>
          <w:rFonts w:cs="Times New Roman"/>
          <w:szCs w:val="24"/>
        </w:rPr>
        <w:t xml:space="preserve">, </w:t>
      </w:r>
      <w:r w:rsidR="005F7BD4">
        <w:rPr>
          <w:rFonts w:cs="Times New Roman"/>
          <w:szCs w:val="24"/>
        </w:rPr>
        <w:t>highlighting their malleable and contingent character.</w:t>
      </w:r>
      <w:r w:rsidR="00361180">
        <w:rPr>
          <w:rFonts w:cs="Times New Roman"/>
          <w:szCs w:val="24"/>
        </w:rPr>
        <w:t xml:space="preserve"> In other words, e</w:t>
      </w:r>
      <w:r w:rsidR="00361180" w:rsidRPr="004B63EC">
        <w:rPr>
          <w:rFonts w:cs="Times New Roman"/>
          <w:szCs w:val="24"/>
        </w:rPr>
        <w:t>ven if we agree that states will pursue their “national interests,” how do incumbent leaders decide what their interests in any specific global governance arena are (</w:t>
      </w:r>
      <w:proofErr w:type="spellStart"/>
      <w:r w:rsidR="00361180" w:rsidRPr="004B63EC">
        <w:rPr>
          <w:rFonts w:cs="Times New Roman"/>
          <w:szCs w:val="24"/>
        </w:rPr>
        <w:t>Finnemore</w:t>
      </w:r>
      <w:proofErr w:type="spellEnd"/>
      <w:r w:rsidR="00361180" w:rsidRPr="004B63EC">
        <w:rPr>
          <w:rFonts w:cs="Times New Roman"/>
          <w:szCs w:val="24"/>
        </w:rPr>
        <w:t xml:space="preserve"> 1996:1-33)? In practice, there is much room for issue-framing and conceptualization to alter policymakers’ preferences.</w:t>
      </w:r>
    </w:p>
    <w:p w14:paraId="4EA1922C" w14:textId="77777777" w:rsidR="005F7BD4" w:rsidRDefault="005F7BD4" w:rsidP="00BE7DEA">
      <w:pPr>
        <w:autoSpaceDE w:val="0"/>
        <w:autoSpaceDN w:val="0"/>
        <w:adjustRightInd w:val="0"/>
        <w:rPr>
          <w:rFonts w:cs="Times New Roman"/>
          <w:szCs w:val="24"/>
        </w:rPr>
      </w:pPr>
    </w:p>
    <w:p w14:paraId="14C42223" w14:textId="0BE3864A" w:rsidR="009F0BF5" w:rsidRDefault="00361180" w:rsidP="00BE7DEA">
      <w:pPr>
        <w:autoSpaceDE w:val="0"/>
        <w:autoSpaceDN w:val="0"/>
        <w:adjustRightInd w:val="0"/>
        <w:rPr>
          <w:rFonts w:cs="Times New Roman"/>
          <w:szCs w:val="24"/>
        </w:rPr>
      </w:pPr>
      <w:r>
        <w:rPr>
          <w:rFonts w:cs="Times New Roman"/>
          <w:szCs w:val="24"/>
        </w:rPr>
        <w:tab/>
      </w:r>
      <w:r w:rsidR="00D12168">
        <w:rPr>
          <w:rFonts w:cs="Times New Roman"/>
          <w:szCs w:val="24"/>
        </w:rPr>
        <w:t xml:space="preserve">The </w:t>
      </w:r>
      <w:r>
        <w:rPr>
          <w:rFonts w:cs="Times New Roman"/>
          <w:szCs w:val="24"/>
        </w:rPr>
        <w:t xml:space="preserve">project’s third major </w:t>
      </w:r>
      <w:r w:rsidR="00D12168">
        <w:rPr>
          <w:rFonts w:cs="Times New Roman"/>
          <w:szCs w:val="24"/>
        </w:rPr>
        <w:t>approach</w:t>
      </w:r>
      <w:r w:rsidR="00536399">
        <w:rPr>
          <w:rFonts w:cs="Times New Roman"/>
          <w:szCs w:val="24"/>
        </w:rPr>
        <w:t xml:space="preserve"> thus lies within the constructivist tradition in international relations scholarship</w:t>
      </w:r>
      <w:r>
        <w:rPr>
          <w:rFonts w:cs="Times New Roman"/>
          <w:szCs w:val="24"/>
        </w:rPr>
        <w:t>. It</w:t>
      </w:r>
      <w:r w:rsidR="00536399">
        <w:rPr>
          <w:rFonts w:cs="Times New Roman"/>
          <w:szCs w:val="24"/>
        </w:rPr>
        <w:t xml:space="preserve"> emphasizes the independent agency </w:t>
      </w:r>
      <w:r>
        <w:rPr>
          <w:rFonts w:cs="Times New Roman"/>
          <w:szCs w:val="24"/>
        </w:rPr>
        <w:t xml:space="preserve">and influence that </w:t>
      </w:r>
      <w:r w:rsidR="00536399">
        <w:rPr>
          <w:rFonts w:cs="Times New Roman"/>
          <w:szCs w:val="24"/>
        </w:rPr>
        <w:t>committed individuals and advocacy groups</w:t>
      </w:r>
      <w:r>
        <w:rPr>
          <w:rFonts w:cs="Times New Roman"/>
          <w:szCs w:val="24"/>
        </w:rPr>
        <w:t xml:space="preserve"> may be able to exercise</w:t>
      </w:r>
      <w:r w:rsidR="00CC6DA4">
        <w:rPr>
          <w:rFonts w:cs="Times New Roman"/>
          <w:szCs w:val="24"/>
        </w:rPr>
        <w:t xml:space="preserve"> in international issue arenas</w:t>
      </w:r>
      <w:r>
        <w:rPr>
          <w:rFonts w:cs="Times New Roman"/>
          <w:szCs w:val="24"/>
        </w:rPr>
        <w:t xml:space="preserve">, as </w:t>
      </w:r>
      <w:r w:rsidR="00CC6DA4">
        <w:rPr>
          <w:rFonts w:cs="Times New Roman"/>
          <w:szCs w:val="24"/>
        </w:rPr>
        <w:t xml:space="preserve">the issue visions of </w:t>
      </w:r>
      <w:r>
        <w:rPr>
          <w:rFonts w:cs="Times New Roman"/>
          <w:szCs w:val="24"/>
        </w:rPr>
        <w:t>t</w:t>
      </w:r>
      <w:r w:rsidR="005F7BD4">
        <w:rPr>
          <w:rFonts w:cs="Times New Roman"/>
          <w:szCs w:val="24"/>
        </w:rPr>
        <w:t>ransnation</w:t>
      </w:r>
      <w:r>
        <w:rPr>
          <w:rFonts w:cs="Times New Roman"/>
          <w:szCs w:val="24"/>
        </w:rPr>
        <w:t xml:space="preserve">al activist coalitions </w:t>
      </w:r>
      <w:r w:rsidR="005F7BD4">
        <w:rPr>
          <w:rFonts w:cs="Times New Roman"/>
          <w:szCs w:val="24"/>
        </w:rPr>
        <w:t xml:space="preserve">become sufficiently </w:t>
      </w:r>
      <w:r w:rsidR="00CC6DA4">
        <w:rPr>
          <w:rFonts w:cs="Times New Roman"/>
          <w:szCs w:val="24"/>
        </w:rPr>
        <w:t xml:space="preserve">popular and </w:t>
      </w:r>
      <w:r w:rsidR="005F7BD4">
        <w:rPr>
          <w:rFonts w:cs="Times New Roman"/>
          <w:szCs w:val="24"/>
        </w:rPr>
        <w:t xml:space="preserve">legitimate to influence the foreign policy preferences of states (Keck and </w:t>
      </w:r>
      <w:proofErr w:type="spellStart"/>
      <w:r w:rsidR="005F7BD4">
        <w:rPr>
          <w:rFonts w:cs="Times New Roman"/>
          <w:szCs w:val="24"/>
        </w:rPr>
        <w:t>Sikkink</w:t>
      </w:r>
      <w:proofErr w:type="spellEnd"/>
      <w:r w:rsidR="005F7BD4">
        <w:rPr>
          <w:rFonts w:cs="Times New Roman"/>
          <w:szCs w:val="24"/>
        </w:rPr>
        <w:t xml:space="preserve"> 2014). This analytical approach </w:t>
      </w:r>
      <w:r w:rsidR="00536399">
        <w:rPr>
          <w:rFonts w:cs="Times New Roman"/>
          <w:szCs w:val="24"/>
        </w:rPr>
        <w:t xml:space="preserve">is particularly appropriate for </w:t>
      </w:r>
      <w:r>
        <w:rPr>
          <w:rFonts w:cs="Times New Roman"/>
          <w:szCs w:val="24"/>
        </w:rPr>
        <w:t xml:space="preserve">investigating </w:t>
      </w:r>
      <w:r w:rsidR="00C04E03">
        <w:rPr>
          <w:rFonts w:cs="Times New Roman"/>
          <w:szCs w:val="24"/>
        </w:rPr>
        <w:t xml:space="preserve">the creation of epistemic communities (Adler 2005) around </w:t>
      </w:r>
      <w:r w:rsidR="005F7BD4">
        <w:rPr>
          <w:rFonts w:cs="Times New Roman"/>
          <w:szCs w:val="24"/>
        </w:rPr>
        <w:t xml:space="preserve">international </w:t>
      </w:r>
      <w:r w:rsidR="00536399">
        <w:rPr>
          <w:rFonts w:cs="Times New Roman"/>
          <w:szCs w:val="24"/>
        </w:rPr>
        <w:t>issue arenas whose very existence might not have been concep</w:t>
      </w:r>
      <w:r w:rsidR="005F7BD4">
        <w:rPr>
          <w:rFonts w:cs="Times New Roman"/>
          <w:szCs w:val="24"/>
        </w:rPr>
        <w:t xml:space="preserve">tualized in a prior era. Even a few decades ago, for example, few would have imagined senior policymakers in powerful states proposing </w:t>
      </w:r>
      <w:r>
        <w:rPr>
          <w:rFonts w:cs="Times New Roman"/>
          <w:szCs w:val="24"/>
        </w:rPr>
        <w:t xml:space="preserve">formal </w:t>
      </w:r>
      <w:r w:rsidR="00CC6DA4">
        <w:rPr>
          <w:rFonts w:cs="Times New Roman"/>
          <w:szCs w:val="24"/>
        </w:rPr>
        <w:t xml:space="preserve">agreements, </w:t>
      </w:r>
      <w:r>
        <w:rPr>
          <w:rFonts w:cs="Times New Roman"/>
          <w:szCs w:val="24"/>
        </w:rPr>
        <w:t>treaties</w:t>
      </w:r>
      <w:r w:rsidR="00CC6DA4">
        <w:rPr>
          <w:rFonts w:cs="Times New Roman"/>
          <w:szCs w:val="24"/>
        </w:rPr>
        <w:t>, or multilateral institutions to buttress</w:t>
      </w:r>
      <w:r>
        <w:rPr>
          <w:rFonts w:cs="Times New Roman"/>
          <w:szCs w:val="24"/>
        </w:rPr>
        <w:t xml:space="preserve"> </w:t>
      </w:r>
      <w:r w:rsidR="005F7BD4">
        <w:rPr>
          <w:rFonts w:cs="Times New Roman"/>
          <w:szCs w:val="24"/>
        </w:rPr>
        <w:t>collect</w:t>
      </w:r>
      <w:r>
        <w:rPr>
          <w:rFonts w:cs="Times New Roman"/>
          <w:szCs w:val="24"/>
        </w:rPr>
        <w:t>ive global rule-making in the service of</w:t>
      </w:r>
      <w:r w:rsidR="00C04E03">
        <w:rPr>
          <w:rFonts w:cs="Times New Roman"/>
          <w:szCs w:val="24"/>
        </w:rPr>
        <w:t>, for example, arenas as diverse as</w:t>
      </w:r>
      <w:r>
        <w:rPr>
          <w:rFonts w:cs="Times New Roman"/>
          <w:szCs w:val="24"/>
        </w:rPr>
        <w:t xml:space="preserve"> </w:t>
      </w:r>
      <w:r w:rsidR="00536399">
        <w:rPr>
          <w:rFonts w:cs="Times New Roman"/>
          <w:szCs w:val="24"/>
        </w:rPr>
        <w:t xml:space="preserve">climate mitigation, </w:t>
      </w:r>
      <w:r w:rsidR="00CC6DA4">
        <w:rPr>
          <w:rFonts w:cs="Times New Roman"/>
          <w:szCs w:val="24"/>
        </w:rPr>
        <w:t xml:space="preserve">controlling the proliferation of particular classes of lethal weapons, </w:t>
      </w:r>
      <w:r w:rsidR="00536399">
        <w:rPr>
          <w:rFonts w:cs="Times New Roman"/>
          <w:szCs w:val="24"/>
        </w:rPr>
        <w:t>gender equality</w:t>
      </w:r>
      <w:r>
        <w:rPr>
          <w:rFonts w:cs="Times New Roman"/>
          <w:szCs w:val="24"/>
        </w:rPr>
        <w:t xml:space="preserve">, </w:t>
      </w:r>
      <w:r w:rsidR="00536399">
        <w:rPr>
          <w:rFonts w:cs="Times New Roman"/>
          <w:szCs w:val="24"/>
        </w:rPr>
        <w:t>corporate social responsibility</w:t>
      </w:r>
      <w:r>
        <w:rPr>
          <w:rFonts w:cs="Times New Roman"/>
          <w:szCs w:val="24"/>
        </w:rPr>
        <w:t>, or the rights of indigenous groups living above the Arctic Circle</w:t>
      </w:r>
      <w:r w:rsidR="00536399">
        <w:rPr>
          <w:rFonts w:cs="Times New Roman"/>
          <w:szCs w:val="24"/>
        </w:rPr>
        <w:t xml:space="preserve">. Careful tracing of the development of new issue arena conceptions also may </w:t>
      </w:r>
      <w:r w:rsidR="009F0BF5">
        <w:rPr>
          <w:rFonts w:cs="Times New Roman"/>
          <w:szCs w:val="24"/>
        </w:rPr>
        <w:t xml:space="preserve">be particularly </w:t>
      </w:r>
      <w:r w:rsidR="00536399">
        <w:rPr>
          <w:rFonts w:cs="Times New Roman"/>
          <w:szCs w:val="24"/>
        </w:rPr>
        <w:t xml:space="preserve">important when formerly </w:t>
      </w:r>
      <w:r w:rsidR="005F7BD4">
        <w:rPr>
          <w:rFonts w:cs="Times New Roman"/>
          <w:szCs w:val="24"/>
        </w:rPr>
        <w:t xml:space="preserve">bitterly </w:t>
      </w:r>
      <w:r w:rsidR="00536399">
        <w:rPr>
          <w:rFonts w:cs="Times New Roman"/>
          <w:szCs w:val="24"/>
        </w:rPr>
        <w:t xml:space="preserve">opposed interests </w:t>
      </w:r>
      <w:r w:rsidR="005F7BD4">
        <w:rPr>
          <w:rFonts w:cs="Times New Roman"/>
          <w:szCs w:val="24"/>
        </w:rPr>
        <w:t xml:space="preserve">unite </w:t>
      </w:r>
      <w:r w:rsidR="00536399">
        <w:rPr>
          <w:rFonts w:cs="Times New Roman"/>
          <w:szCs w:val="24"/>
        </w:rPr>
        <w:t xml:space="preserve">to </w:t>
      </w:r>
      <w:r w:rsidR="009F0BF5">
        <w:rPr>
          <w:rFonts w:cs="Times New Roman"/>
          <w:szCs w:val="24"/>
        </w:rPr>
        <w:t xml:space="preserve">address a common problem, as </w:t>
      </w:r>
      <w:r>
        <w:rPr>
          <w:rFonts w:cs="Times New Roman"/>
          <w:szCs w:val="24"/>
        </w:rPr>
        <w:t xml:space="preserve">for example </w:t>
      </w:r>
      <w:r w:rsidR="009F0BF5">
        <w:rPr>
          <w:rFonts w:cs="Times New Roman"/>
          <w:szCs w:val="24"/>
        </w:rPr>
        <w:t xml:space="preserve">with the </w:t>
      </w:r>
      <w:r w:rsidR="005F7BD4">
        <w:rPr>
          <w:rFonts w:cs="Times New Roman"/>
          <w:szCs w:val="24"/>
        </w:rPr>
        <w:t xml:space="preserve">surprising decision by </w:t>
      </w:r>
      <w:r w:rsidR="009F0BF5">
        <w:rPr>
          <w:rFonts w:cs="Times New Roman"/>
          <w:szCs w:val="24"/>
        </w:rPr>
        <w:t xml:space="preserve">human rights non-governmental organizations (NGOs) </w:t>
      </w:r>
      <w:r w:rsidR="005F7BD4">
        <w:rPr>
          <w:rFonts w:cs="Times New Roman"/>
          <w:szCs w:val="24"/>
        </w:rPr>
        <w:t xml:space="preserve">to cooperate </w:t>
      </w:r>
      <w:r w:rsidR="009F0BF5">
        <w:rPr>
          <w:rFonts w:cs="Times New Roman"/>
          <w:szCs w:val="24"/>
        </w:rPr>
        <w:t xml:space="preserve">with private multinational firms marketing gems and luxury jewelry in order to oppose the sale of conflict diamonds by rebel (or government) armies engaged in atrocities against civilians </w:t>
      </w:r>
      <w:r w:rsidR="005F7BD4">
        <w:rPr>
          <w:rFonts w:cs="Times New Roman"/>
          <w:szCs w:val="24"/>
        </w:rPr>
        <w:t xml:space="preserve">in Africa </w:t>
      </w:r>
      <w:r w:rsidR="009F0BF5">
        <w:rPr>
          <w:rFonts w:cs="Times New Roman"/>
          <w:szCs w:val="24"/>
        </w:rPr>
        <w:t>(</w:t>
      </w:r>
      <w:proofErr w:type="spellStart"/>
      <w:r w:rsidR="009F0BF5">
        <w:rPr>
          <w:rFonts w:cs="Times New Roman"/>
          <w:szCs w:val="24"/>
        </w:rPr>
        <w:t>Haufler</w:t>
      </w:r>
      <w:proofErr w:type="spellEnd"/>
      <w:r w:rsidR="009F0BF5">
        <w:rPr>
          <w:rFonts w:cs="Times New Roman"/>
          <w:szCs w:val="24"/>
        </w:rPr>
        <w:t xml:space="preserve"> </w:t>
      </w:r>
      <w:r w:rsidR="006A6785">
        <w:rPr>
          <w:rFonts w:cs="Times New Roman"/>
          <w:szCs w:val="24"/>
        </w:rPr>
        <w:t xml:space="preserve">2010). </w:t>
      </w:r>
    </w:p>
    <w:p w14:paraId="1413A02C" w14:textId="77777777" w:rsidR="009F0BF5" w:rsidRDefault="009F0BF5" w:rsidP="00BE7DEA">
      <w:pPr>
        <w:autoSpaceDE w:val="0"/>
        <w:autoSpaceDN w:val="0"/>
        <w:adjustRightInd w:val="0"/>
        <w:rPr>
          <w:rFonts w:cs="Times New Roman"/>
          <w:szCs w:val="24"/>
        </w:rPr>
      </w:pPr>
    </w:p>
    <w:p w14:paraId="7638E2A1" w14:textId="3455BC82" w:rsidR="00225AC6" w:rsidRPr="004B63EC" w:rsidRDefault="00536399" w:rsidP="00BE7DEA">
      <w:pPr>
        <w:autoSpaceDE w:val="0"/>
        <w:autoSpaceDN w:val="0"/>
        <w:adjustRightInd w:val="0"/>
        <w:rPr>
          <w:rFonts w:cs="Times New Roman"/>
          <w:szCs w:val="24"/>
        </w:rPr>
      </w:pPr>
      <w:r>
        <w:rPr>
          <w:rFonts w:cs="Times New Roman"/>
          <w:szCs w:val="24"/>
        </w:rPr>
        <w:t xml:space="preserve"> .</w:t>
      </w:r>
      <w:r w:rsidR="00B935B4" w:rsidRPr="004B63EC">
        <w:rPr>
          <w:rFonts w:cs="Times New Roman"/>
          <w:szCs w:val="24"/>
        </w:rPr>
        <w:tab/>
      </w:r>
      <w:r w:rsidR="0096767F">
        <w:rPr>
          <w:rFonts w:cs="Times New Roman"/>
          <w:szCs w:val="24"/>
        </w:rPr>
        <w:t xml:space="preserve">The </w:t>
      </w:r>
      <w:r w:rsidR="00B935B4" w:rsidRPr="004B63EC">
        <w:rPr>
          <w:rFonts w:cs="Times New Roman"/>
          <w:szCs w:val="24"/>
        </w:rPr>
        <w:t xml:space="preserve">intention </w:t>
      </w:r>
      <w:r w:rsidR="0096767F">
        <w:rPr>
          <w:rFonts w:cs="Times New Roman"/>
          <w:szCs w:val="24"/>
        </w:rPr>
        <w:t xml:space="preserve">behind this project </w:t>
      </w:r>
      <w:r w:rsidR="00B935B4" w:rsidRPr="004B63EC">
        <w:rPr>
          <w:rFonts w:cs="Times New Roman"/>
          <w:szCs w:val="24"/>
        </w:rPr>
        <w:t xml:space="preserve">is to bring together </w:t>
      </w:r>
      <w:r w:rsidR="00B02948">
        <w:rPr>
          <w:rFonts w:cs="Times New Roman"/>
          <w:szCs w:val="24"/>
        </w:rPr>
        <w:t xml:space="preserve">international relations </w:t>
      </w:r>
      <w:r w:rsidR="00B935B4" w:rsidRPr="004B63EC">
        <w:rPr>
          <w:rFonts w:cs="Times New Roman"/>
          <w:szCs w:val="24"/>
        </w:rPr>
        <w:t xml:space="preserve">scholars </w:t>
      </w:r>
      <w:r w:rsidR="00B02948">
        <w:rPr>
          <w:rFonts w:cs="Times New Roman"/>
          <w:szCs w:val="24"/>
        </w:rPr>
        <w:t xml:space="preserve">with interests in </w:t>
      </w:r>
      <w:r w:rsidR="00B935B4" w:rsidRPr="004B63EC">
        <w:rPr>
          <w:rFonts w:cs="Times New Roman"/>
          <w:szCs w:val="24"/>
        </w:rPr>
        <w:t>concrete cross-border policy arenas to write parallel papers with the aim of joint publication</w:t>
      </w:r>
      <w:r w:rsidR="00E462CE" w:rsidRPr="004B63EC">
        <w:rPr>
          <w:rFonts w:cs="Times New Roman"/>
          <w:szCs w:val="24"/>
        </w:rPr>
        <w:t>, probably</w:t>
      </w:r>
      <w:r w:rsidR="00B935B4" w:rsidRPr="004B63EC">
        <w:rPr>
          <w:rFonts w:cs="Times New Roman"/>
          <w:szCs w:val="24"/>
        </w:rPr>
        <w:t xml:space="preserve"> in a</w:t>
      </w:r>
      <w:r w:rsidR="00E462CE" w:rsidRPr="004B63EC">
        <w:rPr>
          <w:rFonts w:cs="Times New Roman"/>
          <w:szCs w:val="24"/>
        </w:rPr>
        <w:t>n edited</w:t>
      </w:r>
      <w:r w:rsidR="00B935B4" w:rsidRPr="004B63EC">
        <w:rPr>
          <w:rFonts w:cs="Times New Roman"/>
          <w:szCs w:val="24"/>
        </w:rPr>
        <w:t xml:space="preserve"> book</w:t>
      </w:r>
      <w:r w:rsidR="00E462CE" w:rsidRPr="004B63EC">
        <w:rPr>
          <w:rFonts w:cs="Times New Roman"/>
          <w:szCs w:val="24"/>
        </w:rPr>
        <w:t>,</w:t>
      </w:r>
      <w:r w:rsidR="00B935B4" w:rsidRPr="004B63EC">
        <w:rPr>
          <w:rFonts w:cs="Times New Roman"/>
          <w:szCs w:val="24"/>
        </w:rPr>
        <w:t xml:space="preserve"> framed by a theoretical introduction and conclusion by the authors, who also will edit participants’ papers. </w:t>
      </w:r>
      <w:r w:rsidR="00225AC6" w:rsidRPr="004B63EC">
        <w:rPr>
          <w:rFonts w:cs="Times New Roman"/>
          <w:szCs w:val="24"/>
        </w:rPr>
        <w:t xml:space="preserve">Authors may adopt any theoretical </w:t>
      </w:r>
      <w:r w:rsidR="00FC5D4F">
        <w:rPr>
          <w:rFonts w:cs="Times New Roman"/>
          <w:szCs w:val="24"/>
        </w:rPr>
        <w:t>approach for framing their analytical policy histories that they like, although we will urge participants to situate their analyses loosely within one of the three theoretical traditions we have identified here</w:t>
      </w:r>
      <w:r w:rsidR="00225AC6" w:rsidRPr="004B63EC">
        <w:rPr>
          <w:rFonts w:cs="Times New Roman"/>
          <w:szCs w:val="24"/>
        </w:rPr>
        <w:t>. We see our role as editors to be that of helping the authors, and the contending (or conversing!) theoretical approaches, to speak to one another.</w:t>
      </w:r>
    </w:p>
    <w:p w14:paraId="3844D24F" w14:textId="77777777" w:rsidR="00225AC6" w:rsidRPr="004B63EC" w:rsidRDefault="00225AC6" w:rsidP="00BE7DEA">
      <w:pPr>
        <w:autoSpaceDE w:val="0"/>
        <w:autoSpaceDN w:val="0"/>
        <w:adjustRightInd w:val="0"/>
        <w:rPr>
          <w:rFonts w:cs="Times New Roman"/>
          <w:szCs w:val="24"/>
        </w:rPr>
      </w:pPr>
    </w:p>
    <w:p w14:paraId="25880138" w14:textId="571CAAAC" w:rsidR="00DA73D3" w:rsidRPr="004B63EC" w:rsidRDefault="00F15059" w:rsidP="00CF0F79">
      <w:pPr>
        <w:autoSpaceDE w:val="0"/>
        <w:autoSpaceDN w:val="0"/>
        <w:adjustRightInd w:val="0"/>
        <w:rPr>
          <w:rFonts w:cs="Times New Roman"/>
          <w:szCs w:val="24"/>
        </w:rPr>
      </w:pPr>
      <w:r w:rsidRPr="004B63EC">
        <w:rPr>
          <w:rFonts w:cs="Times New Roman"/>
          <w:szCs w:val="24"/>
        </w:rPr>
        <w:tab/>
      </w:r>
      <w:r w:rsidR="00DA73D3" w:rsidRPr="004B63EC">
        <w:rPr>
          <w:rFonts w:cs="Times New Roman"/>
          <w:szCs w:val="24"/>
        </w:rPr>
        <w:t xml:space="preserve">The </w:t>
      </w:r>
      <w:r w:rsidR="001F4E88" w:rsidRPr="004B63EC">
        <w:rPr>
          <w:rFonts w:cs="Times New Roman"/>
          <w:szCs w:val="24"/>
        </w:rPr>
        <w:t xml:space="preserve">organizers anticipate a first volume consisting of </w:t>
      </w:r>
      <w:r w:rsidR="00DA73D3" w:rsidRPr="004B63EC">
        <w:rPr>
          <w:rFonts w:cs="Times New Roman"/>
          <w:szCs w:val="24"/>
        </w:rPr>
        <w:t xml:space="preserve">analytical policy histories </w:t>
      </w:r>
      <w:r w:rsidRPr="004B63EC">
        <w:rPr>
          <w:rFonts w:cs="Times New Roman"/>
          <w:szCs w:val="24"/>
        </w:rPr>
        <w:t>centered on</w:t>
      </w:r>
      <w:r w:rsidR="00923C70" w:rsidRPr="004B63EC">
        <w:rPr>
          <w:rFonts w:cs="Times New Roman"/>
          <w:szCs w:val="24"/>
        </w:rPr>
        <w:t xml:space="preserve"> contentious (or harmonious) </w:t>
      </w:r>
      <w:r w:rsidRPr="004B63EC">
        <w:rPr>
          <w:rFonts w:cs="Times New Roman"/>
          <w:szCs w:val="24"/>
        </w:rPr>
        <w:t xml:space="preserve">policy regionalism </w:t>
      </w:r>
      <w:r w:rsidR="00DA73D3" w:rsidRPr="004B63EC">
        <w:rPr>
          <w:rFonts w:cs="Times New Roman"/>
          <w:szCs w:val="24"/>
        </w:rPr>
        <w:t xml:space="preserve">within Latin America, </w:t>
      </w:r>
      <w:r w:rsidRPr="004B63EC">
        <w:rPr>
          <w:rFonts w:cs="Times New Roman"/>
          <w:szCs w:val="24"/>
        </w:rPr>
        <w:t xml:space="preserve">usually South America. </w:t>
      </w:r>
      <w:r w:rsidR="008016F7">
        <w:rPr>
          <w:rFonts w:cs="Times New Roman"/>
          <w:szCs w:val="24"/>
        </w:rPr>
        <w:t>For examples of the type of collection we envision see</w:t>
      </w:r>
      <w:r w:rsidR="00A14346">
        <w:rPr>
          <w:rFonts w:cs="Times New Roman"/>
          <w:szCs w:val="24"/>
        </w:rPr>
        <w:t>,</w:t>
      </w:r>
      <w:r w:rsidR="008016F7">
        <w:rPr>
          <w:rFonts w:cs="Times New Roman"/>
          <w:szCs w:val="24"/>
        </w:rPr>
        <w:t xml:space="preserve"> </w:t>
      </w:r>
      <w:r w:rsidR="00A14346">
        <w:rPr>
          <w:rFonts w:cs="Times New Roman"/>
          <w:szCs w:val="24"/>
        </w:rPr>
        <w:t xml:space="preserve">for example, </w:t>
      </w:r>
      <w:r w:rsidR="008016F7">
        <w:rPr>
          <w:rFonts w:cs="Times New Roman"/>
          <w:szCs w:val="24"/>
        </w:rPr>
        <w:t xml:space="preserve">Avant, </w:t>
      </w:r>
      <w:proofErr w:type="spellStart"/>
      <w:r w:rsidR="008016F7">
        <w:rPr>
          <w:rFonts w:cs="Times New Roman"/>
          <w:szCs w:val="24"/>
        </w:rPr>
        <w:t>Finnemore</w:t>
      </w:r>
      <w:proofErr w:type="spellEnd"/>
      <w:r w:rsidR="008016F7">
        <w:rPr>
          <w:rFonts w:cs="Times New Roman"/>
          <w:szCs w:val="24"/>
        </w:rPr>
        <w:t xml:space="preserve">, and Sell (2010); </w:t>
      </w:r>
      <w:proofErr w:type="spellStart"/>
      <w:r w:rsidR="008016F7">
        <w:rPr>
          <w:rFonts w:cs="Times New Roman"/>
          <w:szCs w:val="24"/>
        </w:rPr>
        <w:t>Mattli</w:t>
      </w:r>
      <w:proofErr w:type="spellEnd"/>
      <w:r w:rsidR="008016F7">
        <w:rPr>
          <w:rFonts w:cs="Times New Roman"/>
          <w:szCs w:val="24"/>
        </w:rPr>
        <w:t xml:space="preserve"> and Woods (2009); or Acharya (2016), with the import</w:t>
      </w:r>
      <w:r w:rsidR="00A14346">
        <w:rPr>
          <w:rFonts w:cs="Times New Roman"/>
          <w:szCs w:val="24"/>
        </w:rPr>
        <w:t>ant difference that our focus lies with</w:t>
      </w:r>
      <w:bookmarkStart w:id="0" w:name="_GoBack"/>
      <w:bookmarkEnd w:id="0"/>
      <w:r w:rsidR="008016F7">
        <w:rPr>
          <w:rFonts w:cs="Times New Roman"/>
          <w:szCs w:val="24"/>
        </w:rPr>
        <w:t xml:space="preserve"> regional rather than global governance. </w:t>
      </w:r>
      <w:r w:rsidRPr="004B63EC">
        <w:rPr>
          <w:rFonts w:cs="Times New Roman"/>
          <w:szCs w:val="24"/>
        </w:rPr>
        <w:t xml:space="preserve">A second stage of the larger project </w:t>
      </w:r>
      <w:r w:rsidR="00581EAE" w:rsidRPr="004B63EC">
        <w:rPr>
          <w:rFonts w:cs="Times New Roman"/>
          <w:szCs w:val="24"/>
        </w:rPr>
        <w:t>will engage directly in comparative policy regionalism</w:t>
      </w:r>
      <w:r w:rsidR="001F4E88" w:rsidRPr="004B63EC">
        <w:rPr>
          <w:rFonts w:cs="Times New Roman"/>
          <w:szCs w:val="24"/>
        </w:rPr>
        <w:t xml:space="preserve">, most </w:t>
      </w:r>
      <w:r w:rsidR="003855FF" w:rsidRPr="004B63EC">
        <w:rPr>
          <w:rFonts w:cs="Times New Roman"/>
          <w:szCs w:val="24"/>
        </w:rPr>
        <w:t xml:space="preserve">likely by </w:t>
      </w:r>
      <w:r w:rsidR="001F4E88" w:rsidRPr="004B63EC">
        <w:rPr>
          <w:rFonts w:cs="Times New Roman"/>
          <w:szCs w:val="24"/>
        </w:rPr>
        <w:t xml:space="preserve">contrasting Latin America (or South America) with </w:t>
      </w:r>
      <w:proofErr w:type="gramStart"/>
      <w:r w:rsidR="001F4E88" w:rsidRPr="004B63EC">
        <w:rPr>
          <w:rFonts w:cs="Times New Roman"/>
          <w:szCs w:val="24"/>
        </w:rPr>
        <w:t>East</w:t>
      </w:r>
      <w:proofErr w:type="gramEnd"/>
      <w:r w:rsidR="001F4E88" w:rsidRPr="004B63EC">
        <w:rPr>
          <w:rFonts w:cs="Times New Roman"/>
          <w:szCs w:val="24"/>
        </w:rPr>
        <w:t xml:space="preserve"> (or Southeast) Asia</w:t>
      </w:r>
      <w:r w:rsidR="00581EAE" w:rsidRPr="004B63EC">
        <w:rPr>
          <w:rFonts w:cs="Times New Roman"/>
          <w:szCs w:val="24"/>
        </w:rPr>
        <w:t xml:space="preserve">. </w:t>
      </w:r>
    </w:p>
    <w:p w14:paraId="6DA38CB8" w14:textId="77777777" w:rsidR="00DA73D3" w:rsidRPr="004B63EC" w:rsidRDefault="00DA73D3" w:rsidP="00CF0F79">
      <w:pPr>
        <w:autoSpaceDE w:val="0"/>
        <w:autoSpaceDN w:val="0"/>
        <w:adjustRightInd w:val="0"/>
        <w:rPr>
          <w:rFonts w:cs="Times New Roman"/>
          <w:szCs w:val="24"/>
        </w:rPr>
      </w:pPr>
    </w:p>
    <w:p w14:paraId="365A64B5" w14:textId="2CF35864" w:rsidR="00C927AC" w:rsidRPr="004B63EC" w:rsidRDefault="00923C70" w:rsidP="001449BB">
      <w:pPr>
        <w:rPr>
          <w:rFonts w:cs="Times New Roman"/>
          <w:i/>
          <w:szCs w:val="24"/>
        </w:rPr>
      </w:pPr>
      <w:r w:rsidRPr="004B63EC">
        <w:rPr>
          <w:rFonts w:cs="Times New Roman"/>
          <w:i/>
          <w:szCs w:val="24"/>
        </w:rPr>
        <w:t>Timeline</w:t>
      </w:r>
    </w:p>
    <w:p w14:paraId="44D642F4" w14:textId="77777777" w:rsidR="006A730D" w:rsidRPr="004B63EC" w:rsidRDefault="006A730D" w:rsidP="001449BB">
      <w:pPr>
        <w:rPr>
          <w:rFonts w:cs="Times New Roman"/>
          <w:szCs w:val="24"/>
        </w:rPr>
      </w:pPr>
    </w:p>
    <w:p w14:paraId="3355918F" w14:textId="77777777" w:rsidR="004B63EC" w:rsidRPr="004B63EC" w:rsidRDefault="004B63EC" w:rsidP="001449BB">
      <w:pPr>
        <w:rPr>
          <w:rFonts w:cs="Times New Roman"/>
          <w:szCs w:val="24"/>
        </w:rPr>
      </w:pPr>
      <w:r w:rsidRPr="004B63EC">
        <w:rPr>
          <w:rFonts w:cs="Times New Roman"/>
          <w:szCs w:val="24"/>
        </w:rPr>
        <w:t xml:space="preserve">Proposals -- Friday, June 19, 2020. </w:t>
      </w:r>
    </w:p>
    <w:p w14:paraId="1AD81D0C" w14:textId="77777777" w:rsidR="004B63EC" w:rsidRPr="004B63EC" w:rsidRDefault="004B63EC" w:rsidP="001449BB">
      <w:pPr>
        <w:rPr>
          <w:rFonts w:cs="Times New Roman"/>
          <w:szCs w:val="24"/>
        </w:rPr>
      </w:pPr>
      <w:r w:rsidRPr="004B63EC">
        <w:rPr>
          <w:rFonts w:cs="Times New Roman"/>
          <w:szCs w:val="24"/>
        </w:rPr>
        <w:t xml:space="preserve">Full drafts of the research papers -- September 30. </w:t>
      </w:r>
    </w:p>
    <w:p w14:paraId="0E92C94D" w14:textId="5DF2A367" w:rsidR="00923C70" w:rsidRDefault="004B63EC" w:rsidP="001449BB">
      <w:pPr>
        <w:rPr>
          <w:rFonts w:cs="Times New Roman"/>
          <w:szCs w:val="24"/>
        </w:rPr>
      </w:pPr>
      <w:r w:rsidRPr="004B63EC">
        <w:rPr>
          <w:rFonts w:cs="Times New Roman"/>
          <w:szCs w:val="24"/>
        </w:rPr>
        <w:t>Final versions -- January 5, 2021.</w:t>
      </w:r>
    </w:p>
    <w:p w14:paraId="26483746" w14:textId="77777777" w:rsidR="001D07C0" w:rsidRDefault="001D07C0" w:rsidP="001449BB">
      <w:pPr>
        <w:rPr>
          <w:rFonts w:cs="Times New Roman"/>
          <w:szCs w:val="24"/>
        </w:rPr>
      </w:pPr>
    </w:p>
    <w:p w14:paraId="13F33800" w14:textId="7198345B" w:rsidR="001D07C0" w:rsidRPr="004B63EC" w:rsidRDefault="001D07C0" w:rsidP="001449BB">
      <w:pPr>
        <w:rPr>
          <w:rFonts w:cs="Times New Roman"/>
          <w:b/>
          <w:szCs w:val="24"/>
        </w:rPr>
      </w:pPr>
      <w:r>
        <w:rPr>
          <w:rFonts w:cs="Times New Roman"/>
          <w:szCs w:val="24"/>
        </w:rPr>
        <w:t xml:space="preserve">(Please submit </w:t>
      </w:r>
      <w:r w:rsidR="005E7EFC">
        <w:rPr>
          <w:rFonts w:cs="Times New Roman"/>
          <w:szCs w:val="24"/>
        </w:rPr>
        <w:t xml:space="preserve">proposals </w:t>
      </w:r>
      <w:r>
        <w:rPr>
          <w:rFonts w:cs="Times New Roman"/>
          <w:szCs w:val="24"/>
        </w:rPr>
        <w:t>to any or all of the organizers.)</w:t>
      </w:r>
    </w:p>
    <w:p w14:paraId="304141B3" w14:textId="77777777" w:rsidR="00923C70" w:rsidRPr="004B63EC" w:rsidRDefault="00923C70" w:rsidP="001449BB">
      <w:pPr>
        <w:rPr>
          <w:rFonts w:cs="Times New Roman"/>
          <w:b/>
          <w:szCs w:val="24"/>
        </w:rPr>
      </w:pPr>
    </w:p>
    <w:p w14:paraId="366995E0" w14:textId="77777777" w:rsidR="004B63EC" w:rsidRDefault="004B63EC" w:rsidP="001449BB">
      <w:pPr>
        <w:rPr>
          <w:rFonts w:cs="Times New Roman"/>
          <w:b/>
          <w:szCs w:val="24"/>
        </w:rPr>
      </w:pPr>
    </w:p>
    <w:p w14:paraId="0BA78C84" w14:textId="77777777" w:rsidR="004B63EC" w:rsidRDefault="004B63EC" w:rsidP="001449BB">
      <w:pPr>
        <w:rPr>
          <w:rFonts w:cs="Times New Roman"/>
          <w:b/>
          <w:szCs w:val="24"/>
        </w:rPr>
      </w:pPr>
    </w:p>
    <w:p w14:paraId="6AD36441" w14:textId="77777777" w:rsidR="003B030C" w:rsidRPr="004B63EC" w:rsidRDefault="003B030C" w:rsidP="001449BB">
      <w:pPr>
        <w:rPr>
          <w:rFonts w:cs="Times New Roman"/>
          <w:b/>
          <w:szCs w:val="24"/>
        </w:rPr>
      </w:pPr>
      <w:r w:rsidRPr="004B63EC">
        <w:rPr>
          <w:rFonts w:cs="Times New Roman"/>
          <w:b/>
          <w:szCs w:val="24"/>
        </w:rPr>
        <w:t>References</w:t>
      </w:r>
    </w:p>
    <w:p w14:paraId="02103B18" w14:textId="77777777" w:rsidR="00F32AC0" w:rsidRPr="004B63EC" w:rsidRDefault="00F32AC0" w:rsidP="001449BB">
      <w:pPr>
        <w:rPr>
          <w:rFonts w:cs="Times New Roman"/>
          <w:b/>
          <w:szCs w:val="24"/>
        </w:rPr>
      </w:pPr>
    </w:p>
    <w:p w14:paraId="32A38360" w14:textId="77777777" w:rsidR="00C04E03" w:rsidRPr="00D51075" w:rsidRDefault="00C04E03" w:rsidP="00C04E03">
      <w:pPr>
        <w:ind w:left="720" w:hanging="720"/>
      </w:pPr>
      <w:r w:rsidRPr="00D51075">
        <w:t xml:space="preserve">Adler, Emanuel. 2005. </w:t>
      </w:r>
      <w:r w:rsidRPr="00D51075">
        <w:rPr>
          <w:i/>
        </w:rPr>
        <w:t xml:space="preserve">Communitarian International Relations: The Epistemic Foundations of International Relations. </w:t>
      </w:r>
      <w:r w:rsidRPr="00D51075">
        <w:t>London and New York: Routledge.</w:t>
      </w:r>
    </w:p>
    <w:p w14:paraId="257AB7B5" w14:textId="595FC738" w:rsidR="00DB6567" w:rsidRPr="008B0551" w:rsidRDefault="00DB6567" w:rsidP="009547A8">
      <w:pPr>
        <w:ind w:left="720" w:hanging="720"/>
        <w:rPr>
          <w:rFonts w:eastAsia="Times New Roman" w:cs="Times New Roman"/>
          <w:szCs w:val="24"/>
        </w:rPr>
      </w:pPr>
      <w:r>
        <w:rPr>
          <w:rFonts w:eastAsia="Times New Roman" w:cs="Times New Roman"/>
          <w:szCs w:val="24"/>
        </w:rPr>
        <w:t xml:space="preserve">Armijo, Leslie Elliott and Sybil Rhodes. 2015. </w:t>
      </w:r>
      <w:r w:rsidR="008B0551">
        <w:rPr>
          <w:rFonts w:eastAsia="Times New Roman" w:cs="Times New Roman"/>
          <w:szCs w:val="24"/>
        </w:rPr>
        <w:t xml:space="preserve">“Can International Relations and Comparative Politics be Policy Relevant? Theory and Methods for Incorporating Political Context,” </w:t>
      </w:r>
      <w:r w:rsidR="008B0551">
        <w:rPr>
          <w:rFonts w:eastAsia="Times New Roman" w:cs="Times New Roman"/>
          <w:i/>
          <w:szCs w:val="24"/>
        </w:rPr>
        <w:t xml:space="preserve">Politics and Policy </w:t>
      </w:r>
      <w:r w:rsidR="008B0551">
        <w:rPr>
          <w:rFonts w:eastAsia="Times New Roman" w:cs="Times New Roman"/>
          <w:szCs w:val="24"/>
        </w:rPr>
        <w:t>43:5, pp. 611-646.</w:t>
      </w:r>
    </w:p>
    <w:p w14:paraId="5AEF02DA" w14:textId="77777777" w:rsidR="009547A8" w:rsidRPr="004B63EC" w:rsidRDefault="009547A8" w:rsidP="009547A8">
      <w:pPr>
        <w:ind w:left="720" w:hanging="720"/>
        <w:rPr>
          <w:rFonts w:eastAsia="Times New Roman" w:cs="Times New Roman"/>
          <w:szCs w:val="24"/>
        </w:rPr>
      </w:pPr>
      <w:r w:rsidRPr="004B63EC">
        <w:rPr>
          <w:rFonts w:eastAsia="Times New Roman" w:cs="Times New Roman"/>
          <w:szCs w:val="24"/>
        </w:rPr>
        <w:t xml:space="preserve">Avant, Deborah D., Martha </w:t>
      </w:r>
      <w:proofErr w:type="spellStart"/>
      <w:r w:rsidRPr="004B63EC">
        <w:rPr>
          <w:rFonts w:eastAsia="Times New Roman" w:cs="Times New Roman"/>
          <w:szCs w:val="24"/>
        </w:rPr>
        <w:t>Finnemore</w:t>
      </w:r>
      <w:proofErr w:type="spellEnd"/>
      <w:r w:rsidRPr="004B63EC">
        <w:rPr>
          <w:rFonts w:eastAsia="Times New Roman" w:cs="Times New Roman"/>
          <w:szCs w:val="24"/>
        </w:rPr>
        <w:t xml:space="preserve">, and Susan K. Sell, eds. 2010. </w:t>
      </w:r>
      <w:r w:rsidRPr="004B63EC">
        <w:rPr>
          <w:rFonts w:eastAsia="Times New Roman" w:cs="Times New Roman"/>
          <w:i/>
          <w:szCs w:val="24"/>
        </w:rPr>
        <w:t>Who Governs the Globe?</w:t>
      </w:r>
      <w:r w:rsidRPr="004B63EC">
        <w:rPr>
          <w:rFonts w:eastAsia="Times New Roman" w:cs="Times New Roman"/>
          <w:szCs w:val="24"/>
        </w:rPr>
        <w:t xml:space="preserve"> Cambridge: Cambridge University Press.</w:t>
      </w:r>
    </w:p>
    <w:p w14:paraId="1E4D3944" w14:textId="3507141D" w:rsidR="009547A8" w:rsidRDefault="009547A8" w:rsidP="006A730D">
      <w:pPr>
        <w:tabs>
          <w:tab w:val="left" w:pos="864"/>
        </w:tabs>
        <w:ind w:left="864" w:hanging="864"/>
        <w:rPr>
          <w:rFonts w:cs="Times New Roman"/>
          <w:szCs w:val="24"/>
        </w:rPr>
      </w:pPr>
      <w:r w:rsidRPr="004B63EC">
        <w:rPr>
          <w:rFonts w:cs="Times New Roman"/>
          <w:szCs w:val="24"/>
        </w:rPr>
        <w:t xml:space="preserve">Barrett, Scott. 2007. </w:t>
      </w:r>
      <w:r w:rsidRPr="004B63EC">
        <w:rPr>
          <w:rFonts w:cs="Times New Roman"/>
          <w:i/>
          <w:szCs w:val="24"/>
        </w:rPr>
        <w:t xml:space="preserve">Why Cooperate? The Incentive to Supply Global Public Goods. </w:t>
      </w:r>
      <w:r w:rsidRPr="004B63EC">
        <w:rPr>
          <w:rFonts w:cs="Times New Roman"/>
          <w:szCs w:val="24"/>
        </w:rPr>
        <w:t>New York: Oxford University Press.</w:t>
      </w:r>
    </w:p>
    <w:p w14:paraId="7282C45C" w14:textId="1B259254" w:rsidR="006A38AD" w:rsidRPr="004B63EC" w:rsidRDefault="006A38AD" w:rsidP="006A730D">
      <w:pPr>
        <w:tabs>
          <w:tab w:val="left" w:pos="864"/>
        </w:tabs>
        <w:ind w:left="864" w:hanging="864"/>
        <w:rPr>
          <w:rFonts w:cs="Times New Roman"/>
          <w:szCs w:val="24"/>
        </w:rPr>
      </w:pPr>
      <w:r>
        <w:rPr>
          <w:rFonts w:cs="Times New Roman"/>
          <w:szCs w:val="24"/>
        </w:rPr>
        <w:t xml:space="preserve">Bennett, Arthur and Jeffrey T. </w:t>
      </w:r>
      <w:proofErr w:type="spellStart"/>
      <w:r>
        <w:rPr>
          <w:rFonts w:cs="Times New Roman"/>
          <w:szCs w:val="24"/>
        </w:rPr>
        <w:t>Checkel</w:t>
      </w:r>
      <w:proofErr w:type="spellEnd"/>
      <w:r>
        <w:rPr>
          <w:rFonts w:cs="Times New Roman"/>
          <w:szCs w:val="24"/>
        </w:rPr>
        <w:t xml:space="preserve">, eds. 2015. </w:t>
      </w:r>
      <w:r w:rsidRPr="00CD2B9B">
        <w:rPr>
          <w:rFonts w:cs="Arial"/>
          <w:i/>
          <w:szCs w:val="20"/>
          <w:lang w:val="en"/>
        </w:rPr>
        <w:t>Process Tracing: From Metaphor to Analytic Tool</w:t>
      </w:r>
      <w:r w:rsidRPr="00CD2B9B">
        <w:rPr>
          <w:rFonts w:cs="Arial"/>
          <w:szCs w:val="20"/>
          <w:lang w:val="en"/>
        </w:rPr>
        <w:t>. Cambridge: Cambridge University Press.</w:t>
      </w:r>
    </w:p>
    <w:p w14:paraId="139AB7E7" w14:textId="77777777" w:rsidR="00E03F79" w:rsidRPr="004B63EC" w:rsidRDefault="006B14C7" w:rsidP="006A730D">
      <w:pPr>
        <w:tabs>
          <w:tab w:val="left" w:pos="864"/>
        </w:tabs>
        <w:ind w:left="864" w:hanging="864"/>
        <w:rPr>
          <w:rFonts w:cs="Times New Roman"/>
          <w:szCs w:val="24"/>
        </w:rPr>
      </w:pPr>
      <w:proofErr w:type="spellStart"/>
      <w:r w:rsidRPr="004B63EC">
        <w:rPr>
          <w:rFonts w:cs="Times New Roman"/>
          <w:szCs w:val="24"/>
        </w:rPr>
        <w:t>Borzel</w:t>
      </w:r>
      <w:proofErr w:type="spellEnd"/>
      <w:r w:rsidRPr="004B63EC">
        <w:rPr>
          <w:rFonts w:cs="Times New Roman"/>
          <w:szCs w:val="24"/>
        </w:rPr>
        <w:t xml:space="preserve">, Tanja A. and Thomas </w:t>
      </w:r>
      <w:proofErr w:type="spellStart"/>
      <w:r w:rsidRPr="004B63EC">
        <w:rPr>
          <w:rFonts w:cs="Times New Roman"/>
          <w:szCs w:val="24"/>
        </w:rPr>
        <w:t>Riesse</w:t>
      </w:r>
      <w:proofErr w:type="spellEnd"/>
      <w:r w:rsidRPr="004B63EC">
        <w:rPr>
          <w:rFonts w:cs="Times New Roman"/>
          <w:szCs w:val="24"/>
        </w:rPr>
        <w:t>, eds. 2012.</w:t>
      </w:r>
      <w:r w:rsidR="00E03F79" w:rsidRPr="004B63EC">
        <w:rPr>
          <w:rFonts w:cs="Times New Roman"/>
          <w:szCs w:val="24"/>
        </w:rPr>
        <w:t xml:space="preserve"> “From Europeanization to Diffusion,” Special Issue, </w:t>
      </w:r>
      <w:r w:rsidR="00E03F79" w:rsidRPr="004B63EC">
        <w:rPr>
          <w:rFonts w:cs="Times New Roman"/>
          <w:i/>
          <w:szCs w:val="24"/>
        </w:rPr>
        <w:t xml:space="preserve">West European Politics, </w:t>
      </w:r>
      <w:r w:rsidR="00E03F79" w:rsidRPr="004B63EC">
        <w:rPr>
          <w:rFonts w:cs="Times New Roman"/>
          <w:szCs w:val="24"/>
        </w:rPr>
        <w:t>35:1.</w:t>
      </w:r>
    </w:p>
    <w:p w14:paraId="459C874F" w14:textId="77777777" w:rsidR="00DB6567" w:rsidRDefault="009547A8" w:rsidP="00DB6567">
      <w:pPr>
        <w:pStyle w:val="FootnoteText"/>
        <w:ind w:left="720" w:hanging="720"/>
        <w:contextualSpacing/>
        <w:rPr>
          <w:rFonts w:cs="Times New Roman"/>
          <w:sz w:val="24"/>
          <w:szCs w:val="24"/>
        </w:rPr>
      </w:pPr>
      <w:proofErr w:type="spellStart"/>
      <w:r w:rsidRPr="004B63EC">
        <w:rPr>
          <w:rFonts w:cs="Times New Roman"/>
          <w:sz w:val="24"/>
          <w:szCs w:val="24"/>
        </w:rPr>
        <w:t>Bunte</w:t>
      </w:r>
      <w:proofErr w:type="spellEnd"/>
      <w:r w:rsidRPr="004B63EC">
        <w:rPr>
          <w:rFonts w:cs="Times New Roman"/>
          <w:sz w:val="24"/>
          <w:szCs w:val="24"/>
        </w:rPr>
        <w:t xml:space="preserve">, Jonas B. 2019. </w:t>
      </w:r>
      <w:r w:rsidRPr="004B63EC">
        <w:rPr>
          <w:rFonts w:cs="Times New Roman"/>
          <w:i/>
          <w:sz w:val="24"/>
          <w:szCs w:val="24"/>
        </w:rPr>
        <w:t xml:space="preserve">Raise the Debt: How Developing Countries Choose Their Creditors, </w:t>
      </w:r>
      <w:r w:rsidRPr="004B63EC">
        <w:rPr>
          <w:rFonts w:cs="Times New Roman"/>
          <w:sz w:val="24"/>
          <w:szCs w:val="24"/>
        </w:rPr>
        <w:t xml:space="preserve">New York: Oxford University Press. </w:t>
      </w:r>
    </w:p>
    <w:p w14:paraId="2ACBA632" w14:textId="4370F945" w:rsidR="004B63EC" w:rsidRPr="00DB6567" w:rsidRDefault="00202804" w:rsidP="00DB6567">
      <w:pPr>
        <w:pStyle w:val="FootnoteText"/>
        <w:ind w:left="720" w:hanging="720"/>
        <w:contextualSpacing/>
        <w:rPr>
          <w:rFonts w:cs="Times New Roman"/>
          <w:sz w:val="24"/>
          <w:szCs w:val="24"/>
        </w:rPr>
      </w:pPr>
      <w:proofErr w:type="spellStart"/>
      <w:r w:rsidRPr="00DB6567">
        <w:rPr>
          <w:rFonts w:cs="Times New Roman"/>
          <w:sz w:val="24"/>
          <w:szCs w:val="24"/>
        </w:rPr>
        <w:t>Cashore</w:t>
      </w:r>
      <w:proofErr w:type="spellEnd"/>
      <w:r w:rsidRPr="00DB6567">
        <w:rPr>
          <w:rFonts w:cs="Times New Roman"/>
          <w:sz w:val="24"/>
          <w:szCs w:val="24"/>
        </w:rPr>
        <w:t xml:space="preserve">, Benjamin and Steven Bernstein. 2020. </w:t>
      </w:r>
      <w:r w:rsidR="004B63EC" w:rsidRPr="00DB6567">
        <w:rPr>
          <w:rFonts w:cs="Times New Roman"/>
          <w:sz w:val="24"/>
          <w:szCs w:val="24"/>
        </w:rPr>
        <w:t>“Why Experts Disagree on How to Manage COVID-19: Four Problem Conceptions, Not One,” Blogpost, April 7, at:</w:t>
      </w:r>
      <w:r w:rsidR="00DB6567">
        <w:rPr>
          <w:rFonts w:cs="Times New Roman"/>
          <w:sz w:val="24"/>
          <w:szCs w:val="24"/>
        </w:rPr>
        <w:t xml:space="preserve"> </w:t>
      </w:r>
      <w:hyperlink r:id="rId10" w:history="1">
        <w:r w:rsidR="008B0551" w:rsidRPr="00D71471">
          <w:rPr>
            <w:rStyle w:val="Hyperlink"/>
            <w:rFonts w:cs="Times New Roman"/>
            <w:sz w:val="24"/>
            <w:szCs w:val="24"/>
          </w:rPr>
          <w:t>https://www.globalpolicyjournal.com/blog/07/04/2020/why-experts-disagree-how-manage-covid-19-four-problem-conceptions-not-one</w:t>
        </w:r>
      </w:hyperlink>
    </w:p>
    <w:p w14:paraId="17881CE1" w14:textId="0F8B4848" w:rsidR="004768B1" w:rsidRPr="004B63EC" w:rsidRDefault="004768B1" w:rsidP="004B63EC">
      <w:pPr>
        <w:pStyle w:val="FootnoteText"/>
        <w:ind w:left="720" w:hanging="720"/>
        <w:contextualSpacing/>
        <w:rPr>
          <w:rFonts w:cs="Times New Roman"/>
          <w:sz w:val="24"/>
          <w:szCs w:val="24"/>
        </w:rPr>
      </w:pPr>
      <w:r w:rsidRPr="004B63EC">
        <w:rPr>
          <w:rFonts w:cs="Times New Roman"/>
          <w:sz w:val="24"/>
          <w:szCs w:val="24"/>
        </w:rPr>
        <w:t xml:space="preserve">Cooper, Andrew F., C.W. Hughes, and P. de </w:t>
      </w:r>
      <w:proofErr w:type="spellStart"/>
      <w:r w:rsidRPr="004B63EC">
        <w:rPr>
          <w:rFonts w:cs="Times New Roman"/>
          <w:sz w:val="24"/>
          <w:szCs w:val="24"/>
        </w:rPr>
        <w:t>Lombaerde</w:t>
      </w:r>
      <w:proofErr w:type="spellEnd"/>
      <w:r w:rsidRPr="004B63EC">
        <w:rPr>
          <w:rFonts w:cs="Times New Roman"/>
          <w:sz w:val="24"/>
          <w:szCs w:val="24"/>
        </w:rPr>
        <w:t xml:space="preserve">, eds. 2007. </w:t>
      </w:r>
      <w:r w:rsidRPr="004B63EC">
        <w:rPr>
          <w:rFonts w:cs="Times New Roman"/>
          <w:i/>
          <w:sz w:val="24"/>
          <w:szCs w:val="24"/>
        </w:rPr>
        <w:t xml:space="preserve">Regionalism and Global Governance: The Taming of Globalization? </w:t>
      </w:r>
      <w:r w:rsidRPr="004B63EC">
        <w:rPr>
          <w:rFonts w:cs="Times New Roman"/>
          <w:sz w:val="24"/>
          <w:szCs w:val="24"/>
        </w:rPr>
        <w:t>New York: Palgrave.</w:t>
      </w:r>
    </w:p>
    <w:p w14:paraId="55A8DC04" w14:textId="07328529" w:rsidR="00F32AC0" w:rsidRDefault="00F32AC0" w:rsidP="004B63EC">
      <w:pPr>
        <w:pStyle w:val="FootnoteText"/>
        <w:ind w:left="720" w:hanging="720"/>
        <w:contextualSpacing/>
        <w:rPr>
          <w:rFonts w:cs="Times New Roman"/>
          <w:sz w:val="24"/>
          <w:szCs w:val="24"/>
        </w:rPr>
      </w:pPr>
      <w:proofErr w:type="spellStart"/>
      <w:r w:rsidRPr="004B63EC">
        <w:rPr>
          <w:rFonts w:cs="Times New Roman"/>
          <w:sz w:val="24"/>
          <w:szCs w:val="24"/>
        </w:rPr>
        <w:t>Fraundorfer</w:t>
      </w:r>
      <w:proofErr w:type="spellEnd"/>
      <w:r w:rsidRPr="004B63EC">
        <w:rPr>
          <w:rFonts w:cs="Times New Roman"/>
          <w:sz w:val="24"/>
          <w:szCs w:val="24"/>
        </w:rPr>
        <w:t xml:space="preserve">, Markus. 2017. </w:t>
      </w:r>
      <w:r w:rsidRPr="004B63EC">
        <w:rPr>
          <w:rFonts w:cs="Times New Roman"/>
          <w:i/>
          <w:sz w:val="24"/>
          <w:szCs w:val="24"/>
        </w:rPr>
        <w:t>Rethinking Global Democracy in Brazil.</w:t>
      </w:r>
      <w:r w:rsidRPr="004B63EC">
        <w:rPr>
          <w:rFonts w:cs="Times New Roman"/>
          <w:sz w:val="24"/>
          <w:szCs w:val="24"/>
        </w:rPr>
        <w:t xml:space="preserve"> London: Rowman &amp; Littlefield International.</w:t>
      </w:r>
    </w:p>
    <w:p w14:paraId="42B038E4" w14:textId="0F01E67B" w:rsidR="00A848B5" w:rsidRDefault="00A848B5" w:rsidP="00A848B5">
      <w:pPr>
        <w:ind w:left="720" w:hanging="720"/>
      </w:pPr>
      <w:proofErr w:type="spellStart"/>
      <w:r w:rsidRPr="00097595">
        <w:t>Frie</w:t>
      </w:r>
      <w:r>
        <w:t>den</w:t>
      </w:r>
      <w:proofErr w:type="spellEnd"/>
      <w:r>
        <w:t xml:space="preserve">, Jeffry and Ernesto Stein. 2001. </w:t>
      </w:r>
      <w:r w:rsidRPr="00097595">
        <w:t xml:space="preserve">“The Political Economy of Exchange Rate Policy in Latin America: An Analytical Overview,” in Jeffry </w:t>
      </w:r>
      <w:proofErr w:type="spellStart"/>
      <w:r w:rsidRPr="00097595">
        <w:t>Frieden</w:t>
      </w:r>
      <w:proofErr w:type="spellEnd"/>
      <w:r w:rsidRPr="00097595">
        <w:t xml:space="preserve"> and Ernesto Stein, </w:t>
      </w:r>
      <w:proofErr w:type="gramStart"/>
      <w:r w:rsidRPr="00097595">
        <w:t>eds</w:t>
      </w:r>
      <w:proofErr w:type="gramEnd"/>
      <w:r w:rsidRPr="00097595">
        <w:t xml:space="preserve">.  </w:t>
      </w:r>
      <w:r w:rsidRPr="00097595">
        <w:rPr>
          <w:i/>
          <w:iCs/>
        </w:rPr>
        <w:t xml:space="preserve">The Currency Game: Exchange Rate Policies in Latin America, </w:t>
      </w:r>
      <w:r w:rsidRPr="00097595">
        <w:t>Washington, D.C.: Inter-American Development Bank.</w:t>
      </w:r>
    </w:p>
    <w:p w14:paraId="61977B65" w14:textId="6FF343F3" w:rsidR="006A6785" w:rsidRPr="00F931A4" w:rsidRDefault="006A6785" w:rsidP="00F931A4">
      <w:pPr>
        <w:ind w:left="720" w:hanging="720"/>
        <w:rPr>
          <w:rFonts w:eastAsia="Times New Roman" w:cs="Times New Roman"/>
          <w:szCs w:val="24"/>
        </w:rPr>
      </w:pPr>
      <w:proofErr w:type="spellStart"/>
      <w:r>
        <w:rPr>
          <w:rFonts w:cs="Times New Roman"/>
          <w:szCs w:val="24"/>
        </w:rPr>
        <w:t>Haufler</w:t>
      </w:r>
      <w:proofErr w:type="spellEnd"/>
      <w:r>
        <w:rPr>
          <w:rFonts w:cs="Times New Roman"/>
          <w:szCs w:val="24"/>
        </w:rPr>
        <w:t xml:space="preserve">, Virginia. 2010. </w:t>
      </w:r>
      <w:r w:rsidR="00F931A4" w:rsidRPr="00F931A4">
        <w:rPr>
          <w:szCs w:val="24"/>
        </w:rPr>
        <w:t>“Corporations in zones of conflict: issues, actors, and institutions</w:t>
      </w:r>
      <w:r w:rsidR="00F931A4">
        <w:rPr>
          <w:szCs w:val="24"/>
        </w:rPr>
        <w:t>,</w:t>
      </w:r>
      <w:r w:rsidR="00F931A4" w:rsidRPr="00F931A4">
        <w:rPr>
          <w:szCs w:val="24"/>
        </w:rPr>
        <w:t>”</w:t>
      </w:r>
      <w:r w:rsidR="00F931A4">
        <w:rPr>
          <w:szCs w:val="24"/>
        </w:rPr>
        <w:t xml:space="preserve"> in </w:t>
      </w:r>
      <w:r w:rsidR="00F931A4" w:rsidRPr="004B63EC">
        <w:rPr>
          <w:rFonts w:eastAsia="Times New Roman" w:cs="Times New Roman"/>
          <w:i/>
          <w:szCs w:val="24"/>
        </w:rPr>
        <w:t>Who Governs the Globe?</w:t>
      </w:r>
      <w:r w:rsidR="00F931A4" w:rsidRPr="004B63EC">
        <w:rPr>
          <w:rFonts w:eastAsia="Times New Roman" w:cs="Times New Roman"/>
          <w:szCs w:val="24"/>
        </w:rPr>
        <w:t xml:space="preserve"> </w:t>
      </w:r>
      <w:r w:rsidR="00F931A4">
        <w:rPr>
          <w:rFonts w:eastAsia="Times New Roman" w:cs="Times New Roman"/>
          <w:szCs w:val="24"/>
        </w:rPr>
        <w:t xml:space="preserve">Eds. Deborah D. Avant, Martha </w:t>
      </w:r>
      <w:proofErr w:type="spellStart"/>
      <w:r w:rsidR="00F931A4">
        <w:rPr>
          <w:rFonts w:eastAsia="Times New Roman" w:cs="Times New Roman"/>
          <w:szCs w:val="24"/>
        </w:rPr>
        <w:t>Finnemore</w:t>
      </w:r>
      <w:proofErr w:type="spellEnd"/>
      <w:r w:rsidR="00F931A4">
        <w:rPr>
          <w:rFonts w:eastAsia="Times New Roman" w:cs="Times New Roman"/>
          <w:szCs w:val="24"/>
        </w:rPr>
        <w:t xml:space="preserve">, and Susan K. Sell. </w:t>
      </w:r>
      <w:r w:rsidR="00F931A4" w:rsidRPr="004B63EC">
        <w:rPr>
          <w:rFonts w:eastAsia="Times New Roman" w:cs="Times New Roman"/>
          <w:szCs w:val="24"/>
        </w:rPr>
        <w:t>Cambrid</w:t>
      </w:r>
      <w:r w:rsidR="00F931A4">
        <w:rPr>
          <w:rFonts w:eastAsia="Times New Roman" w:cs="Times New Roman"/>
          <w:szCs w:val="24"/>
        </w:rPr>
        <w:t>ge: Cambridge University Press.</w:t>
      </w:r>
    </w:p>
    <w:p w14:paraId="29655F2A" w14:textId="0B65B43A" w:rsidR="006A0902" w:rsidRPr="004B63EC" w:rsidRDefault="006A0902" w:rsidP="006A6785">
      <w:pPr>
        <w:pStyle w:val="FootnoteText"/>
        <w:ind w:left="720" w:hanging="720"/>
        <w:contextualSpacing/>
        <w:rPr>
          <w:rFonts w:cs="Times New Roman"/>
          <w:sz w:val="24"/>
          <w:szCs w:val="24"/>
        </w:rPr>
      </w:pPr>
      <w:proofErr w:type="spellStart"/>
      <w:r w:rsidRPr="004B63EC">
        <w:rPr>
          <w:rFonts w:cs="Times New Roman"/>
          <w:sz w:val="24"/>
          <w:szCs w:val="24"/>
        </w:rPr>
        <w:t>Hurrell</w:t>
      </w:r>
      <w:proofErr w:type="spellEnd"/>
      <w:r w:rsidRPr="004B63EC">
        <w:rPr>
          <w:rFonts w:cs="Times New Roman"/>
          <w:sz w:val="24"/>
          <w:szCs w:val="24"/>
        </w:rPr>
        <w:t xml:space="preserve">, Andrew. 2004. “Hegemony and Regional Governance in the Americas,” Global Law Working Paper #05/04, New York University School of Law. </w:t>
      </w:r>
    </w:p>
    <w:p w14:paraId="31009CA2" w14:textId="77777777" w:rsidR="006A0902" w:rsidRPr="004B63EC" w:rsidRDefault="006A0902" w:rsidP="006A730D">
      <w:pPr>
        <w:tabs>
          <w:tab w:val="left" w:pos="864"/>
        </w:tabs>
        <w:ind w:left="864" w:hanging="864"/>
        <w:rPr>
          <w:rFonts w:cs="Times New Roman"/>
          <w:szCs w:val="24"/>
        </w:rPr>
      </w:pPr>
      <w:proofErr w:type="spellStart"/>
      <w:r w:rsidRPr="004B63EC">
        <w:rPr>
          <w:rFonts w:cs="Times New Roman"/>
          <w:szCs w:val="24"/>
        </w:rPr>
        <w:t>Katzenstein</w:t>
      </w:r>
      <w:proofErr w:type="spellEnd"/>
      <w:r w:rsidRPr="004B63EC">
        <w:rPr>
          <w:rFonts w:cs="Times New Roman"/>
          <w:szCs w:val="24"/>
        </w:rPr>
        <w:t xml:space="preserve">, Peter J. 2005. </w:t>
      </w:r>
      <w:r w:rsidRPr="004B63EC">
        <w:rPr>
          <w:rFonts w:cs="Times New Roman"/>
          <w:i/>
          <w:szCs w:val="24"/>
        </w:rPr>
        <w:t xml:space="preserve">A World of Regions: Asia and Europe in the American Imperium. </w:t>
      </w:r>
      <w:r w:rsidRPr="004B63EC">
        <w:rPr>
          <w:rFonts w:cs="Times New Roman"/>
          <w:szCs w:val="24"/>
        </w:rPr>
        <w:t xml:space="preserve">Ithaca: Cornell University Press. </w:t>
      </w:r>
    </w:p>
    <w:p w14:paraId="7F85CC8A" w14:textId="77777777" w:rsidR="001C53BF" w:rsidRPr="004B63EC" w:rsidRDefault="001C53BF" w:rsidP="006A730D">
      <w:pPr>
        <w:tabs>
          <w:tab w:val="left" w:pos="864"/>
        </w:tabs>
        <w:ind w:left="864" w:hanging="864"/>
        <w:rPr>
          <w:rFonts w:cs="Times New Roman"/>
          <w:szCs w:val="24"/>
        </w:rPr>
      </w:pPr>
      <w:r w:rsidRPr="004B63EC">
        <w:rPr>
          <w:rFonts w:cs="Times New Roman"/>
          <w:szCs w:val="24"/>
        </w:rPr>
        <w:t xml:space="preserve">Keck, Margaret E. and Kathryn </w:t>
      </w:r>
      <w:proofErr w:type="spellStart"/>
      <w:r w:rsidRPr="004B63EC">
        <w:rPr>
          <w:rFonts w:cs="Times New Roman"/>
          <w:szCs w:val="24"/>
        </w:rPr>
        <w:t>Sikkink</w:t>
      </w:r>
      <w:proofErr w:type="spellEnd"/>
      <w:r w:rsidRPr="004B63EC">
        <w:rPr>
          <w:rFonts w:cs="Times New Roman"/>
          <w:szCs w:val="24"/>
        </w:rPr>
        <w:t xml:space="preserve">. 2014. </w:t>
      </w:r>
      <w:r w:rsidRPr="004B63EC">
        <w:rPr>
          <w:rFonts w:cs="Times New Roman"/>
          <w:i/>
          <w:szCs w:val="24"/>
        </w:rPr>
        <w:t xml:space="preserve">Activists </w:t>
      </w:r>
      <w:proofErr w:type="gramStart"/>
      <w:r w:rsidRPr="004B63EC">
        <w:rPr>
          <w:rFonts w:cs="Times New Roman"/>
          <w:i/>
          <w:szCs w:val="24"/>
        </w:rPr>
        <w:t>Beyond</w:t>
      </w:r>
      <w:proofErr w:type="gramEnd"/>
      <w:r w:rsidRPr="004B63EC">
        <w:rPr>
          <w:rFonts w:cs="Times New Roman"/>
          <w:i/>
          <w:szCs w:val="24"/>
        </w:rPr>
        <w:t xml:space="preserve"> Borders: Advocacy Networks in International Politics. </w:t>
      </w:r>
      <w:r w:rsidRPr="004B63EC">
        <w:rPr>
          <w:rFonts w:cs="Times New Roman"/>
          <w:szCs w:val="24"/>
        </w:rPr>
        <w:t>Ithaca: Cornell University Press.</w:t>
      </w:r>
    </w:p>
    <w:p w14:paraId="4B04B43B" w14:textId="77777777" w:rsidR="00B4217E" w:rsidRPr="004B63EC" w:rsidRDefault="00B4217E" w:rsidP="006A730D">
      <w:pPr>
        <w:tabs>
          <w:tab w:val="left" w:pos="864"/>
        </w:tabs>
        <w:ind w:left="864" w:hanging="864"/>
        <w:rPr>
          <w:rFonts w:cs="Times New Roman"/>
          <w:szCs w:val="24"/>
        </w:rPr>
      </w:pPr>
      <w:proofErr w:type="spellStart"/>
      <w:r w:rsidRPr="004B63EC">
        <w:rPr>
          <w:rFonts w:cs="Times New Roman"/>
          <w:szCs w:val="24"/>
        </w:rPr>
        <w:t>Koremenos</w:t>
      </w:r>
      <w:proofErr w:type="spellEnd"/>
      <w:r w:rsidRPr="004B63EC">
        <w:rPr>
          <w:rFonts w:cs="Times New Roman"/>
          <w:szCs w:val="24"/>
        </w:rPr>
        <w:t xml:space="preserve">, Barbara, Charles Lipson, and Duncan Snidal. 2001. “The Rational Design of International Institutions,” </w:t>
      </w:r>
      <w:r w:rsidRPr="004B63EC">
        <w:rPr>
          <w:rFonts w:cs="Times New Roman"/>
          <w:i/>
          <w:szCs w:val="24"/>
        </w:rPr>
        <w:t xml:space="preserve">International Organization </w:t>
      </w:r>
      <w:r w:rsidRPr="004B63EC">
        <w:rPr>
          <w:rFonts w:cs="Times New Roman"/>
          <w:szCs w:val="24"/>
        </w:rPr>
        <w:t xml:space="preserve">55:4, </w:t>
      </w:r>
      <w:proofErr w:type="gramStart"/>
      <w:r w:rsidRPr="004B63EC">
        <w:rPr>
          <w:rFonts w:cs="Times New Roman"/>
          <w:szCs w:val="24"/>
        </w:rPr>
        <w:t>Autumn</w:t>
      </w:r>
      <w:proofErr w:type="gramEnd"/>
      <w:r w:rsidRPr="004B63EC">
        <w:rPr>
          <w:rFonts w:cs="Times New Roman"/>
          <w:szCs w:val="24"/>
        </w:rPr>
        <w:t>, pp. 761-799.</w:t>
      </w:r>
    </w:p>
    <w:p w14:paraId="5BB817B9" w14:textId="33937598" w:rsidR="00764AFF" w:rsidRPr="004B63EC" w:rsidRDefault="00764AFF" w:rsidP="006A730D">
      <w:pPr>
        <w:tabs>
          <w:tab w:val="left" w:pos="864"/>
        </w:tabs>
        <w:ind w:left="864" w:hanging="864"/>
        <w:rPr>
          <w:rFonts w:cs="Times New Roman"/>
          <w:szCs w:val="24"/>
        </w:rPr>
      </w:pPr>
      <w:r w:rsidRPr="004B63EC">
        <w:rPr>
          <w:rFonts w:cs="Times New Roman"/>
          <w:szCs w:val="24"/>
        </w:rPr>
        <w:t xml:space="preserve">Long, Tom. 2018. “Latin America and the liberal international order: an agenda for research,” </w:t>
      </w:r>
      <w:r w:rsidR="003855FF" w:rsidRPr="004B63EC">
        <w:rPr>
          <w:rFonts w:cs="Times New Roman"/>
          <w:i/>
          <w:szCs w:val="24"/>
        </w:rPr>
        <w:t xml:space="preserve">International Affairs, </w:t>
      </w:r>
      <w:r w:rsidR="003855FF" w:rsidRPr="004B63EC">
        <w:rPr>
          <w:rFonts w:cs="Times New Roman"/>
          <w:szCs w:val="24"/>
        </w:rPr>
        <w:t>94:6, pp. 1371-1390.</w:t>
      </w:r>
    </w:p>
    <w:p w14:paraId="7EB92A68" w14:textId="036BA7C2" w:rsidR="005E7EFC" w:rsidRPr="00A476BF" w:rsidRDefault="00633EAE" w:rsidP="006A730D">
      <w:pPr>
        <w:tabs>
          <w:tab w:val="left" w:pos="864"/>
        </w:tabs>
        <w:ind w:left="864" w:hanging="864"/>
        <w:rPr>
          <w:rFonts w:cs="Times New Roman"/>
          <w:szCs w:val="24"/>
          <w:lang w:val="en-GB"/>
        </w:rPr>
      </w:pPr>
      <w:r w:rsidRPr="004B63EC">
        <w:rPr>
          <w:rFonts w:cs="Times New Roman"/>
          <w:szCs w:val="24"/>
        </w:rPr>
        <w:t xml:space="preserve">Long, Tom. 2020. </w:t>
      </w:r>
      <w:r w:rsidRPr="004B63EC">
        <w:rPr>
          <w:rFonts w:cs="Times New Roman"/>
          <w:szCs w:val="24"/>
          <w:lang w:val="en-GB"/>
        </w:rPr>
        <w:t xml:space="preserve">“Historical Antecedents and Post-World War II Regionalism in the Americas,” </w:t>
      </w:r>
      <w:r w:rsidRPr="004B63EC">
        <w:rPr>
          <w:rFonts w:cs="Times New Roman"/>
          <w:i/>
          <w:szCs w:val="24"/>
          <w:lang w:val="en-GB"/>
        </w:rPr>
        <w:t xml:space="preserve">World Politics, </w:t>
      </w:r>
      <w:r w:rsidRPr="004B63EC">
        <w:rPr>
          <w:rFonts w:cs="Times New Roman"/>
          <w:szCs w:val="24"/>
          <w:lang w:val="en-GB"/>
        </w:rPr>
        <w:t>72:2, April, pp. 1-40.</w:t>
      </w:r>
    </w:p>
    <w:p w14:paraId="0E831D12" w14:textId="77777777" w:rsidR="006A0902" w:rsidRPr="004B63EC" w:rsidRDefault="006A730D" w:rsidP="006A730D">
      <w:pPr>
        <w:tabs>
          <w:tab w:val="left" w:pos="864"/>
        </w:tabs>
        <w:ind w:left="864" w:hanging="864"/>
        <w:rPr>
          <w:rFonts w:cs="Times New Roman"/>
          <w:szCs w:val="24"/>
        </w:rPr>
      </w:pPr>
      <w:proofErr w:type="spellStart"/>
      <w:r w:rsidRPr="004B63EC">
        <w:rPr>
          <w:rFonts w:cs="Times New Roman"/>
          <w:szCs w:val="24"/>
        </w:rPr>
        <w:t>Pekkanen</w:t>
      </w:r>
      <w:proofErr w:type="spellEnd"/>
      <w:r w:rsidRPr="004B63EC">
        <w:rPr>
          <w:rFonts w:cs="Times New Roman"/>
          <w:szCs w:val="24"/>
        </w:rPr>
        <w:t xml:space="preserve">, </w:t>
      </w:r>
      <w:proofErr w:type="spellStart"/>
      <w:r w:rsidRPr="004B63EC">
        <w:rPr>
          <w:rFonts w:cs="Times New Roman"/>
          <w:szCs w:val="24"/>
        </w:rPr>
        <w:t>Saadia</w:t>
      </w:r>
      <w:proofErr w:type="spellEnd"/>
      <w:r w:rsidRPr="004B63EC">
        <w:rPr>
          <w:rFonts w:cs="Times New Roman"/>
          <w:szCs w:val="24"/>
        </w:rPr>
        <w:t xml:space="preserve"> M., ed. </w:t>
      </w:r>
      <w:r w:rsidR="006A0902" w:rsidRPr="004B63EC">
        <w:rPr>
          <w:rFonts w:cs="Times New Roman"/>
          <w:szCs w:val="24"/>
        </w:rPr>
        <w:t xml:space="preserve">2016. </w:t>
      </w:r>
      <w:r w:rsidRPr="004B63EC">
        <w:rPr>
          <w:rFonts w:cs="Times New Roman"/>
          <w:i/>
          <w:szCs w:val="24"/>
        </w:rPr>
        <w:t>Asian Designs: Governance in the Contemporary World Order</w:t>
      </w:r>
      <w:r w:rsidR="006A0902" w:rsidRPr="004B63EC">
        <w:rPr>
          <w:rFonts w:cs="Times New Roman"/>
          <w:i/>
          <w:szCs w:val="24"/>
        </w:rPr>
        <w:t>.</w:t>
      </w:r>
      <w:r w:rsidRPr="004B63EC">
        <w:rPr>
          <w:rFonts w:cs="Times New Roman"/>
          <w:i/>
          <w:szCs w:val="24"/>
        </w:rPr>
        <w:t xml:space="preserve"> </w:t>
      </w:r>
      <w:r w:rsidRPr="004B63EC">
        <w:rPr>
          <w:rFonts w:cs="Times New Roman"/>
          <w:szCs w:val="24"/>
        </w:rPr>
        <w:t>Ithaca:</w:t>
      </w:r>
      <w:r w:rsidR="006A0902" w:rsidRPr="004B63EC">
        <w:rPr>
          <w:rFonts w:cs="Times New Roman"/>
          <w:szCs w:val="24"/>
        </w:rPr>
        <w:t xml:space="preserve"> Cornell University Press</w:t>
      </w:r>
      <w:r w:rsidR="00E03F79" w:rsidRPr="004B63EC">
        <w:rPr>
          <w:rFonts w:cs="Times New Roman"/>
          <w:szCs w:val="24"/>
        </w:rPr>
        <w:t>.</w:t>
      </w:r>
    </w:p>
    <w:p w14:paraId="51BD983D" w14:textId="7C8CF049" w:rsidR="00202804" w:rsidRPr="008B5BF4" w:rsidRDefault="00202804" w:rsidP="006A730D">
      <w:pPr>
        <w:tabs>
          <w:tab w:val="left" w:pos="864"/>
        </w:tabs>
        <w:ind w:left="864" w:hanging="864"/>
        <w:rPr>
          <w:rFonts w:cs="Times New Roman"/>
          <w:szCs w:val="24"/>
        </w:rPr>
      </w:pPr>
      <w:r w:rsidRPr="004B63EC">
        <w:rPr>
          <w:rFonts w:cs="Times New Roman"/>
          <w:szCs w:val="24"/>
        </w:rPr>
        <w:t xml:space="preserve">Putnam, Robert D. 1988. </w:t>
      </w:r>
      <w:r w:rsidR="008B5BF4">
        <w:rPr>
          <w:rFonts w:cs="Times New Roman"/>
          <w:szCs w:val="24"/>
        </w:rPr>
        <w:t xml:space="preserve">“Diplomacy and Domestic Politics: The Logic of Two-Level Games,” </w:t>
      </w:r>
      <w:r w:rsidR="008B5BF4">
        <w:rPr>
          <w:rFonts w:cs="Times New Roman"/>
          <w:i/>
          <w:szCs w:val="24"/>
        </w:rPr>
        <w:t xml:space="preserve">International Organization </w:t>
      </w:r>
      <w:r w:rsidR="008B5BF4">
        <w:rPr>
          <w:rFonts w:cs="Times New Roman"/>
          <w:szCs w:val="24"/>
        </w:rPr>
        <w:t xml:space="preserve">42:3, </w:t>
      </w:r>
      <w:proofErr w:type="gramStart"/>
      <w:r w:rsidR="008B5BF4">
        <w:rPr>
          <w:rFonts w:cs="Times New Roman"/>
          <w:szCs w:val="24"/>
        </w:rPr>
        <w:t>Summer</w:t>
      </w:r>
      <w:proofErr w:type="gramEnd"/>
      <w:r w:rsidR="008B5BF4">
        <w:rPr>
          <w:rFonts w:cs="Times New Roman"/>
          <w:szCs w:val="24"/>
        </w:rPr>
        <w:t>, pp. 427-460.</w:t>
      </w:r>
    </w:p>
    <w:p w14:paraId="56FEE2A7" w14:textId="77777777" w:rsidR="006F3102" w:rsidRPr="004B63EC" w:rsidRDefault="006F3102" w:rsidP="00E03F79">
      <w:pPr>
        <w:tabs>
          <w:tab w:val="left" w:pos="864"/>
        </w:tabs>
        <w:ind w:left="864" w:hanging="864"/>
        <w:rPr>
          <w:rFonts w:cs="Times New Roman"/>
          <w:szCs w:val="24"/>
        </w:rPr>
      </w:pPr>
      <w:proofErr w:type="spellStart"/>
      <w:r w:rsidRPr="004B63EC">
        <w:rPr>
          <w:rFonts w:cs="Times New Roman"/>
          <w:szCs w:val="24"/>
        </w:rPr>
        <w:t>Przeworski</w:t>
      </w:r>
      <w:proofErr w:type="spellEnd"/>
      <w:r w:rsidRPr="004B63EC">
        <w:rPr>
          <w:rFonts w:cs="Times New Roman"/>
          <w:szCs w:val="24"/>
        </w:rPr>
        <w:t xml:space="preserve">, Adam. 2001. </w:t>
      </w:r>
      <w:r w:rsidRPr="004B63EC">
        <w:rPr>
          <w:rFonts w:cs="Times New Roman"/>
          <w:i/>
          <w:szCs w:val="24"/>
        </w:rPr>
        <w:t xml:space="preserve">Democracy and the Market: Political and Economic Reforms in Eastern Europe and Latin America. </w:t>
      </w:r>
      <w:r w:rsidRPr="004B63EC">
        <w:rPr>
          <w:rFonts w:cs="Times New Roman"/>
          <w:szCs w:val="24"/>
        </w:rPr>
        <w:t>Cambridge: Cambridge University Press.</w:t>
      </w:r>
    </w:p>
    <w:p w14:paraId="0B49F378" w14:textId="77777777" w:rsidR="00E03F79" w:rsidRPr="004B63EC" w:rsidRDefault="00E03F79" w:rsidP="00E03F79">
      <w:pPr>
        <w:tabs>
          <w:tab w:val="left" w:pos="864"/>
        </w:tabs>
        <w:ind w:left="864" w:hanging="864"/>
        <w:rPr>
          <w:rFonts w:cs="Times New Roman"/>
          <w:szCs w:val="24"/>
        </w:rPr>
      </w:pPr>
      <w:proofErr w:type="spellStart"/>
      <w:r w:rsidRPr="004B63EC">
        <w:rPr>
          <w:rFonts w:cs="Times New Roman"/>
          <w:szCs w:val="24"/>
        </w:rPr>
        <w:t>Riggirozzi</w:t>
      </w:r>
      <w:proofErr w:type="spellEnd"/>
      <w:r w:rsidRPr="004B63EC">
        <w:rPr>
          <w:rFonts w:cs="Times New Roman"/>
          <w:szCs w:val="24"/>
        </w:rPr>
        <w:t xml:space="preserve">, Pia and Christopher </w:t>
      </w:r>
      <w:proofErr w:type="spellStart"/>
      <w:r w:rsidRPr="004B63EC">
        <w:rPr>
          <w:rFonts w:cs="Times New Roman"/>
          <w:szCs w:val="24"/>
        </w:rPr>
        <w:t>Wylde</w:t>
      </w:r>
      <w:proofErr w:type="spellEnd"/>
      <w:r w:rsidRPr="004B63EC">
        <w:rPr>
          <w:rFonts w:cs="Times New Roman"/>
          <w:szCs w:val="24"/>
        </w:rPr>
        <w:t xml:space="preserve">, eds. 2017. </w:t>
      </w:r>
      <w:r w:rsidRPr="004B63EC">
        <w:rPr>
          <w:rFonts w:cs="Times New Roman"/>
          <w:i/>
          <w:szCs w:val="24"/>
        </w:rPr>
        <w:t xml:space="preserve">Handbook of South American Governance. </w:t>
      </w:r>
      <w:r w:rsidRPr="004B63EC">
        <w:rPr>
          <w:rFonts w:cs="Times New Roman"/>
          <w:szCs w:val="24"/>
        </w:rPr>
        <w:t>New York: Routledge.</w:t>
      </w:r>
    </w:p>
    <w:p w14:paraId="2F0DEB0E" w14:textId="77777777" w:rsidR="00EC20FF" w:rsidRPr="004B63EC" w:rsidRDefault="00EC20FF" w:rsidP="00E03F79">
      <w:pPr>
        <w:tabs>
          <w:tab w:val="left" w:pos="864"/>
        </w:tabs>
        <w:ind w:left="864" w:hanging="864"/>
        <w:rPr>
          <w:rFonts w:cs="Times New Roman"/>
          <w:szCs w:val="24"/>
        </w:rPr>
      </w:pPr>
      <w:r w:rsidRPr="004B63EC">
        <w:rPr>
          <w:rFonts w:cs="Times New Roman"/>
          <w:szCs w:val="24"/>
        </w:rPr>
        <w:t xml:space="preserve">Roberts, Cynthia, Leslie Elliott Armijo, and </w:t>
      </w:r>
      <w:proofErr w:type="spellStart"/>
      <w:r w:rsidRPr="004B63EC">
        <w:rPr>
          <w:rFonts w:cs="Times New Roman"/>
          <w:szCs w:val="24"/>
        </w:rPr>
        <w:t>Saori</w:t>
      </w:r>
      <w:proofErr w:type="spellEnd"/>
      <w:r w:rsidRPr="004B63EC">
        <w:rPr>
          <w:rFonts w:cs="Times New Roman"/>
          <w:szCs w:val="24"/>
        </w:rPr>
        <w:t xml:space="preserve"> N. </w:t>
      </w:r>
      <w:proofErr w:type="spellStart"/>
      <w:r w:rsidRPr="004B63EC">
        <w:rPr>
          <w:rFonts w:cs="Times New Roman"/>
          <w:szCs w:val="24"/>
        </w:rPr>
        <w:t>Katada</w:t>
      </w:r>
      <w:proofErr w:type="spellEnd"/>
      <w:r w:rsidRPr="004B63EC">
        <w:rPr>
          <w:rFonts w:cs="Times New Roman"/>
          <w:szCs w:val="24"/>
        </w:rPr>
        <w:t xml:space="preserve">. 2018. </w:t>
      </w:r>
      <w:r w:rsidRPr="004B63EC">
        <w:rPr>
          <w:rFonts w:cs="Times New Roman"/>
          <w:i/>
          <w:szCs w:val="24"/>
        </w:rPr>
        <w:t xml:space="preserve">The BRICS and Collective Financial Statecraft. </w:t>
      </w:r>
      <w:r w:rsidRPr="004B63EC">
        <w:rPr>
          <w:rFonts w:cs="Times New Roman"/>
          <w:szCs w:val="24"/>
        </w:rPr>
        <w:t>New York: Oxford University Press.</w:t>
      </w:r>
    </w:p>
    <w:p w14:paraId="320753B2" w14:textId="32559CB6" w:rsidR="005E7EFC" w:rsidRPr="00891CA3" w:rsidRDefault="000C39BF" w:rsidP="00891CA3">
      <w:pPr>
        <w:ind w:left="720" w:hanging="720"/>
      </w:pPr>
      <w:proofErr w:type="spellStart"/>
      <w:r>
        <w:t>Rogowski</w:t>
      </w:r>
      <w:proofErr w:type="spellEnd"/>
      <w:r>
        <w:t xml:space="preserve">, Ronald.  1990.  </w:t>
      </w:r>
      <w:r>
        <w:rPr>
          <w:i/>
          <w:iCs/>
        </w:rPr>
        <w:t xml:space="preserve">Commerce and Coalitions:  How Trade Affects Domestic Political Alignments.  </w:t>
      </w:r>
      <w:r>
        <w:t xml:space="preserve">Princeton, N.J.:  Princeton University Press.  </w:t>
      </w:r>
    </w:p>
    <w:p w14:paraId="2AD179C7" w14:textId="77777777" w:rsidR="00891CA3" w:rsidRPr="00CC1A27" w:rsidRDefault="00891CA3" w:rsidP="00891CA3">
      <w:pPr>
        <w:ind w:left="720" w:hanging="720"/>
      </w:pPr>
      <w:proofErr w:type="spellStart"/>
      <w:r>
        <w:t>Tammen</w:t>
      </w:r>
      <w:proofErr w:type="spellEnd"/>
      <w:r>
        <w:t xml:space="preserve">, Ronald L. et al. 2000. </w:t>
      </w:r>
      <w:r w:rsidRPr="00D51075">
        <w:rPr>
          <w:i/>
          <w:iCs/>
        </w:rPr>
        <w:t>Power Transitions: Strategies for the 21</w:t>
      </w:r>
      <w:r w:rsidRPr="00D51075">
        <w:rPr>
          <w:i/>
          <w:iCs/>
          <w:vertAlign w:val="superscript"/>
        </w:rPr>
        <w:t>st</w:t>
      </w:r>
      <w:r w:rsidRPr="00D51075">
        <w:rPr>
          <w:i/>
          <w:iCs/>
        </w:rPr>
        <w:t xml:space="preserve"> Century.</w:t>
      </w:r>
      <w:r>
        <w:rPr>
          <w:i/>
          <w:iCs/>
        </w:rPr>
        <w:t xml:space="preserve"> </w:t>
      </w:r>
      <w:r>
        <w:rPr>
          <w:iCs/>
        </w:rPr>
        <w:t xml:space="preserve">Washington, DC: </w:t>
      </w:r>
      <w:r w:rsidRPr="00A04F3E">
        <w:rPr>
          <w:i/>
          <w:iCs/>
        </w:rPr>
        <w:t xml:space="preserve">CQ </w:t>
      </w:r>
      <w:r>
        <w:rPr>
          <w:iCs/>
        </w:rPr>
        <w:t>Press,</w:t>
      </w:r>
    </w:p>
    <w:p w14:paraId="43FF5539" w14:textId="5E22A170" w:rsidR="004948B2" w:rsidRPr="004B63EC" w:rsidRDefault="004948B2" w:rsidP="00E03F79">
      <w:pPr>
        <w:tabs>
          <w:tab w:val="left" w:pos="864"/>
        </w:tabs>
        <w:ind w:left="864" w:hanging="864"/>
        <w:rPr>
          <w:rFonts w:cs="Times New Roman"/>
          <w:szCs w:val="24"/>
        </w:rPr>
      </w:pPr>
      <w:r w:rsidRPr="004B63EC">
        <w:rPr>
          <w:rFonts w:cs="Times New Roman"/>
          <w:szCs w:val="24"/>
        </w:rPr>
        <w:t xml:space="preserve">Waltz, Kenneth N. 2001 [1959]. </w:t>
      </w:r>
      <w:r w:rsidRPr="004B63EC">
        <w:rPr>
          <w:rFonts w:cs="Times New Roman"/>
          <w:i/>
          <w:szCs w:val="24"/>
        </w:rPr>
        <w:t xml:space="preserve">Man, the State, and War. </w:t>
      </w:r>
      <w:r w:rsidRPr="004B63EC">
        <w:rPr>
          <w:rFonts w:cs="Times New Roman"/>
          <w:szCs w:val="24"/>
        </w:rPr>
        <w:t>New York: Columbia University Press.</w:t>
      </w:r>
    </w:p>
    <w:p w14:paraId="35753D15" w14:textId="77777777" w:rsidR="00E03F79" w:rsidRPr="004B63EC" w:rsidRDefault="005074EB" w:rsidP="006A730D">
      <w:pPr>
        <w:tabs>
          <w:tab w:val="left" w:pos="864"/>
        </w:tabs>
        <w:ind w:left="864" w:hanging="864"/>
        <w:rPr>
          <w:rFonts w:eastAsia="Times New Roman" w:cs="Times New Roman"/>
          <w:szCs w:val="24"/>
        </w:rPr>
      </w:pPr>
      <w:r w:rsidRPr="004B63EC">
        <w:rPr>
          <w:rFonts w:eastAsia="Times New Roman" w:cs="Times New Roman"/>
          <w:szCs w:val="24"/>
        </w:rPr>
        <w:t xml:space="preserve">Waltz, Kenneth N. 1979. </w:t>
      </w:r>
      <w:r w:rsidRPr="004B63EC">
        <w:rPr>
          <w:rFonts w:eastAsia="Times New Roman" w:cs="Times New Roman"/>
          <w:i/>
          <w:szCs w:val="24"/>
        </w:rPr>
        <w:t xml:space="preserve">Theory of International Politics. </w:t>
      </w:r>
      <w:r w:rsidRPr="004B63EC">
        <w:rPr>
          <w:rFonts w:eastAsia="Times New Roman" w:cs="Times New Roman"/>
          <w:szCs w:val="24"/>
        </w:rPr>
        <w:t>Long Grove, IL: Waveland Press.</w:t>
      </w:r>
    </w:p>
    <w:p w14:paraId="52CE1E7C" w14:textId="68CCA92A" w:rsidR="00EC56E2" w:rsidRPr="004B63EC" w:rsidRDefault="00EC56E2" w:rsidP="006A730D">
      <w:pPr>
        <w:tabs>
          <w:tab w:val="left" w:pos="864"/>
        </w:tabs>
        <w:ind w:left="864" w:hanging="864"/>
        <w:rPr>
          <w:rFonts w:eastAsia="Times New Roman" w:cs="Times New Roman"/>
          <w:szCs w:val="24"/>
        </w:rPr>
      </w:pPr>
      <w:r w:rsidRPr="004B63EC">
        <w:rPr>
          <w:rFonts w:eastAsia="Times New Roman" w:cs="Times New Roman"/>
          <w:szCs w:val="24"/>
        </w:rPr>
        <w:t xml:space="preserve">Wiener, A. and T. </w:t>
      </w:r>
      <w:proofErr w:type="spellStart"/>
      <w:r w:rsidRPr="004B63EC">
        <w:rPr>
          <w:rFonts w:eastAsia="Times New Roman" w:cs="Times New Roman"/>
          <w:szCs w:val="24"/>
        </w:rPr>
        <w:t>Diez</w:t>
      </w:r>
      <w:proofErr w:type="spellEnd"/>
      <w:r w:rsidRPr="004B63EC">
        <w:rPr>
          <w:rFonts w:eastAsia="Times New Roman" w:cs="Times New Roman"/>
          <w:szCs w:val="24"/>
        </w:rPr>
        <w:t xml:space="preserve">, eds. 2009. </w:t>
      </w:r>
      <w:r w:rsidRPr="004B63EC">
        <w:rPr>
          <w:rFonts w:eastAsia="Times New Roman" w:cs="Times New Roman"/>
          <w:i/>
          <w:szCs w:val="24"/>
        </w:rPr>
        <w:t xml:space="preserve">European Integration Theory. </w:t>
      </w:r>
      <w:r w:rsidRPr="004B63EC">
        <w:rPr>
          <w:rFonts w:eastAsia="Times New Roman" w:cs="Times New Roman"/>
          <w:szCs w:val="24"/>
        </w:rPr>
        <w:t xml:space="preserve">Oxford: Oxford University Press. </w:t>
      </w:r>
    </w:p>
    <w:p w14:paraId="2429687B" w14:textId="1805E3AB" w:rsidR="005B199C" w:rsidRPr="004B63EC" w:rsidRDefault="005B199C" w:rsidP="006A730D">
      <w:pPr>
        <w:tabs>
          <w:tab w:val="left" w:pos="864"/>
        </w:tabs>
        <w:ind w:left="864" w:hanging="864"/>
        <w:rPr>
          <w:rFonts w:eastAsia="Times New Roman" w:cs="Times New Roman"/>
          <w:szCs w:val="24"/>
        </w:rPr>
      </w:pPr>
      <w:proofErr w:type="spellStart"/>
      <w:r w:rsidRPr="004B63EC">
        <w:rPr>
          <w:rFonts w:cs="Times New Roman"/>
          <w:szCs w:val="24"/>
        </w:rPr>
        <w:t>Zürn</w:t>
      </w:r>
      <w:proofErr w:type="spellEnd"/>
      <w:r w:rsidRPr="004B63EC">
        <w:rPr>
          <w:rFonts w:cs="Times New Roman"/>
          <w:szCs w:val="24"/>
        </w:rPr>
        <w:t xml:space="preserve">, Michael. 2018. </w:t>
      </w:r>
      <w:r w:rsidRPr="004B63EC">
        <w:rPr>
          <w:rFonts w:cs="Times New Roman"/>
          <w:i/>
          <w:szCs w:val="24"/>
        </w:rPr>
        <w:t>A Theory of Global Governance. Authority, Legitimacy and Contestation</w:t>
      </w:r>
      <w:r w:rsidRPr="004B63EC">
        <w:rPr>
          <w:rFonts w:cs="Times New Roman"/>
          <w:szCs w:val="24"/>
        </w:rPr>
        <w:t>. Oxford: Oxford University Press</w:t>
      </w:r>
      <w:r w:rsidR="00970B1F" w:rsidRPr="004B63EC">
        <w:rPr>
          <w:rFonts w:cs="Times New Roman"/>
          <w:szCs w:val="24"/>
        </w:rPr>
        <w:t>.</w:t>
      </w:r>
    </w:p>
    <w:p w14:paraId="7A37ACB7" w14:textId="77777777" w:rsidR="00EC56E2" w:rsidRPr="004B63EC" w:rsidRDefault="00EC56E2" w:rsidP="006A730D">
      <w:pPr>
        <w:tabs>
          <w:tab w:val="left" w:pos="864"/>
        </w:tabs>
        <w:ind w:left="864" w:hanging="864"/>
        <w:rPr>
          <w:rFonts w:eastAsia="Times New Roman" w:cs="Times New Roman"/>
          <w:szCs w:val="24"/>
        </w:rPr>
      </w:pPr>
    </w:p>
    <w:p w14:paraId="5DEF038B" w14:textId="77777777" w:rsidR="00EC56E2" w:rsidRPr="004B63EC" w:rsidRDefault="00EC56E2" w:rsidP="006A730D">
      <w:pPr>
        <w:tabs>
          <w:tab w:val="left" w:pos="864"/>
        </w:tabs>
        <w:ind w:left="864" w:hanging="864"/>
        <w:rPr>
          <w:rFonts w:cs="Times New Roman"/>
          <w:szCs w:val="24"/>
        </w:rPr>
      </w:pPr>
    </w:p>
    <w:sectPr w:rsidR="00EC56E2" w:rsidRPr="004B63EC">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9818C" w16cex:dateUtc="2020-05-15T19:01:00Z"/>
  <w16cex:commentExtensible w16cex:durableId="226BD424" w16cex:dateUtc="2020-05-17T18:17:00Z"/>
  <w16cex:commentExtensible w16cex:durableId="226BE8EE" w16cex:dateUtc="2020-05-17T19:46:00Z"/>
  <w16cex:commentExtensible w16cex:durableId="226BD5C0" w16cex:dateUtc="2020-05-17T18:24:00Z"/>
  <w16cex:commentExtensible w16cex:durableId="226BD9DF" w16cex:dateUtc="2020-05-17T18:42:00Z"/>
  <w16cex:commentExtensible w16cex:durableId="226BE941" w16cex:dateUtc="2020-05-17T19:48:00Z"/>
  <w16cex:commentExtensible w16cex:durableId="226BD7A1" w16cex:dateUtc="2020-05-17T18:32:00Z"/>
  <w16cex:commentExtensible w16cex:durableId="22697EFD" w16cex:dateUtc="2020-05-15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6846C2" w16cid:durableId="2269818C"/>
  <w16cid:commentId w16cid:paraId="52139B68" w16cid:durableId="226BD424"/>
  <w16cid:commentId w16cid:paraId="089000CD" w16cid:durableId="22694366"/>
  <w16cid:commentId w16cid:paraId="14995CDC" w16cid:durableId="226BE8EE"/>
  <w16cid:commentId w16cid:paraId="30584A14" w16cid:durableId="22694367"/>
  <w16cid:commentId w16cid:paraId="69F62C55" w16cid:durableId="226BD5C0"/>
  <w16cid:commentId w16cid:paraId="5F2F673D" w16cid:durableId="226BD9DF"/>
  <w16cid:commentId w16cid:paraId="2344589D" w16cid:durableId="226BE941"/>
  <w16cid:commentId w16cid:paraId="47E9558E" w16cid:durableId="226BD7A1"/>
  <w16cid:commentId w16cid:paraId="382B19F0" w16cid:durableId="22694368"/>
  <w16cid:commentId w16cid:paraId="0A109284" w16cid:durableId="22697E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8A1EC" w14:textId="77777777" w:rsidR="005A3D9F" w:rsidRDefault="005A3D9F" w:rsidP="003C6B6D">
      <w:r>
        <w:separator/>
      </w:r>
    </w:p>
  </w:endnote>
  <w:endnote w:type="continuationSeparator" w:id="0">
    <w:p w14:paraId="55323B01" w14:textId="77777777" w:rsidR="005A3D9F" w:rsidRDefault="005A3D9F" w:rsidP="003C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8C0F7" w14:textId="77777777" w:rsidR="005A3D9F" w:rsidRDefault="005A3D9F" w:rsidP="003C6B6D">
      <w:r>
        <w:separator/>
      </w:r>
    </w:p>
  </w:footnote>
  <w:footnote w:type="continuationSeparator" w:id="0">
    <w:p w14:paraId="1E8565BA" w14:textId="77777777" w:rsidR="005A3D9F" w:rsidRDefault="005A3D9F" w:rsidP="003C6B6D">
      <w:r>
        <w:continuationSeparator/>
      </w:r>
    </w:p>
  </w:footnote>
  <w:footnote w:id="1">
    <w:p w14:paraId="2EF4132F" w14:textId="77777777" w:rsidR="00ED6F1E" w:rsidRDefault="00ED6F1E" w:rsidP="00923C70">
      <w:pPr>
        <w:pStyle w:val="FootnoteText"/>
      </w:pPr>
      <w:r>
        <w:rPr>
          <w:rStyle w:val="FootnoteReference"/>
        </w:rPr>
        <w:footnoteRef/>
      </w:r>
      <w:r>
        <w:t xml:space="preserve"> The language of the project is English. This said, the organizers are willing to spend some extra effort where necessary in editing contributions by colleagues whose first language is not English.</w:t>
      </w:r>
    </w:p>
  </w:footnote>
  <w:footnote w:id="2">
    <w:p w14:paraId="6490CF5C" w14:textId="455D779A" w:rsidR="00ED6F1E" w:rsidRDefault="00ED6F1E" w:rsidP="00923C70">
      <w:pPr>
        <w:pStyle w:val="FootnoteText"/>
      </w:pPr>
      <w:r>
        <w:rPr>
          <w:rStyle w:val="FootnoteReference"/>
        </w:rPr>
        <w:footnoteRef/>
      </w:r>
      <w:r>
        <w:t xml:space="preserve"> The organizers will contribute papers on regional governance efforts for development finance (Armijo), migration and refugees</w:t>
      </w:r>
      <w:r w:rsidR="00A14346">
        <w:t xml:space="preserve"> </w:t>
      </w:r>
      <w:r>
        <w:t>(Rhodes), and infectious disease management (</w:t>
      </w:r>
      <w:proofErr w:type="spellStart"/>
      <w:r>
        <w:t>Fraundorfer</w:t>
      </w:r>
      <w:proofErr w:type="spellEnd"/>
      <w:r>
        <w:t>).</w:t>
      </w:r>
    </w:p>
  </w:footnote>
  <w:footnote w:id="3">
    <w:p w14:paraId="0100DA00" w14:textId="77777777" w:rsidR="00ED6F1E" w:rsidRPr="006F3102" w:rsidRDefault="00ED6F1E" w:rsidP="00561F7E">
      <w:pPr>
        <w:pStyle w:val="FootnoteText"/>
      </w:pPr>
      <w:r>
        <w:rPr>
          <w:rStyle w:val="FootnoteReference"/>
        </w:rPr>
        <w:footnoteRef/>
      </w:r>
      <w:r>
        <w:t xml:space="preserve"> The year 1990 represents </w:t>
      </w:r>
      <w:r w:rsidRPr="006F3102">
        <w:rPr>
          <w:i/>
        </w:rPr>
        <w:t>inter alia</w:t>
      </w:r>
      <w:r>
        <w:rPr>
          <w:i/>
        </w:rPr>
        <w:t xml:space="preserve"> </w:t>
      </w:r>
      <w:r>
        <w:t xml:space="preserve">the approximate end of, first, the Cold War; second, the “lost decade” associated with the 1980s debt crisis in Latin America; and third, the wave of democratic transitions in Latin America (and Eastern Europe). See </w:t>
      </w:r>
      <w:proofErr w:type="spellStart"/>
      <w:r>
        <w:t>Przeworski</w:t>
      </w:r>
      <w:proofErr w:type="spellEnd"/>
      <w:r>
        <w:t xml:space="preserve"> 1991.</w:t>
      </w:r>
    </w:p>
  </w:footnote>
  <w:footnote w:id="4">
    <w:p w14:paraId="4855DF51" w14:textId="41022ABE" w:rsidR="00ED6F1E" w:rsidRDefault="00ED6F1E">
      <w:pPr>
        <w:pStyle w:val="FootnoteText"/>
      </w:pPr>
      <w:r>
        <w:rPr>
          <w:rStyle w:val="FootnoteReference"/>
        </w:rPr>
        <w:footnoteRef/>
      </w:r>
      <w:r>
        <w:t xml:space="preserve"> One example of implicitly competing efforts to organize the region can be seen in the creation of development banks. The Inter-American Development Bank (IDB), founded in 1959 and based in Washington, D.C., comes out of the Pan-American, hemisphere-wide tradition. The Development Bank of Latin America (CAF), headquartered in Caracas and currently managed from elsewhere in South America, was founded in  1966 as the sub-regional Andean Development Corporation and has since welcomed as members all Latin American and Caribbean states and Spain, giving it a Latin American/</w:t>
      </w:r>
      <w:proofErr w:type="spellStart"/>
      <w:r>
        <w:t>Ibero</w:t>
      </w:r>
      <w:proofErr w:type="spellEnd"/>
      <w:r>
        <w:t>-American character. During the administration of Venezuelan President Hugo Chávez, the Bolivarian Alliance (ALBA), cofounded in 2003 with Cuban President Fidel Castro as a socialist alternative to capitalist regionalism attempted to establish both an ALBA bank for members and a South-America-wide Bank of the South, although neither effort ultimately flourished.</w:t>
      </w:r>
    </w:p>
  </w:footnote>
  <w:footnote w:id="5">
    <w:p w14:paraId="5E8E296F" w14:textId="1D197DFD" w:rsidR="00ED6F1E" w:rsidRPr="00FA79C4" w:rsidRDefault="00ED6F1E">
      <w:pPr>
        <w:pStyle w:val="FootnoteText"/>
      </w:pPr>
      <w:r>
        <w:rPr>
          <w:rStyle w:val="FootnoteReference"/>
        </w:rPr>
        <w:footnoteRef/>
      </w:r>
      <w:r>
        <w:t xml:space="preserve"> For more detailed expositions of theory and methods for constructing analytical policy narratives see Armijo and Rhodes (2015), which is especially relevant to what we here term the broad </w:t>
      </w:r>
      <w:r>
        <w:rPr>
          <w:i/>
        </w:rPr>
        <w:t xml:space="preserve">power politics </w:t>
      </w:r>
      <w:r>
        <w:t xml:space="preserve">mode of analysis, or Bennett and </w:t>
      </w:r>
      <w:proofErr w:type="spellStart"/>
      <w:r>
        <w:t>Checkel</w:t>
      </w:r>
      <w:proofErr w:type="spellEnd"/>
      <w:r>
        <w:t xml:space="preserve"> (2015), whose method of “process tracing” is especially useful for constructivist scholars, working within what this project calls the </w:t>
      </w:r>
      <w:r>
        <w:rPr>
          <w:i/>
        </w:rPr>
        <w:t xml:space="preserve">norm entrepreneur </w:t>
      </w:r>
      <w:r>
        <w:t>tradition.</w:t>
      </w:r>
    </w:p>
  </w:footnote>
  <w:footnote w:id="6">
    <w:p w14:paraId="1B0836CD" w14:textId="2C98ADD1" w:rsidR="00ED6F1E" w:rsidRPr="008B5BF4" w:rsidRDefault="00ED6F1E" w:rsidP="00F16AE3">
      <w:pPr>
        <w:pStyle w:val="FootnoteText"/>
      </w:pPr>
      <w:r w:rsidRPr="008B5BF4">
        <w:rPr>
          <w:rStyle w:val="FootnoteReference"/>
        </w:rPr>
        <w:footnoteRef/>
      </w:r>
      <w:r w:rsidRPr="008B5BF4">
        <w:t xml:space="preserve"> In additional to its important contribution to international relations, the issue arena incentives approach </w:t>
      </w:r>
      <w:r w:rsidRPr="008B5BF4">
        <w:rPr>
          <w:rFonts w:ascii="Sabon-Roman" w:hAnsi="Sabon-Roman" w:cs="Sabon-Roman"/>
          <w:szCs w:val="24"/>
        </w:rPr>
        <w:t xml:space="preserve">is common within the organization theory, public administration, and business literature on cooperation. </w:t>
      </w:r>
    </w:p>
  </w:footnote>
  <w:footnote w:id="7">
    <w:p w14:paraId="2E00A673" w14:textId="77777777" w:rsidR="00ED6F1E" w:rsidRDefault="00ED6F1E" w:rsidP="00140196">
      <w:pPr>
        <w:pStyle w:val="FootnoteText"/>
      </w:pPr>
      <w:r w:rsidRPr="008B5BF4">
        <w:rPr>
          <w:rStyle w:val="FootnoteReference"/>
        </w:rPr>
        <w:footnoteRef/>
      </w:r>
      <w:r w:rsidRPr="008B5BF4">
        <w:t xml:space="preserve"> The power politics</w:t>
      </w:r>
      <w:r w:rsidRPr="008B5BF4">
        <w:rPr>
          <w:rFonts w:ascii="Sabon-Roman" w:hAnsi="Sabon-Roman" w:cs="Sabon-Roman"/>
          <w:szCs w:val="24"/>
        </w:rPr>
        <w:t xml:space="preserve"> approach has roots in both neorealist international relations and public choice understandings of comparative political economy. </w:t>
      </w:r>
      <w:r w:rsidRPr="008B5BF4">
        <w:t>It therefore encompasses both Waltz’ (2001[1959], 1979) third (systemic) and second (domestic politics</w:t>
      </w:r>
      <w:r>
        <w:t>) images of international relations.</w:t>
      </w:r>
    </w:p>
  </w:footnote>
  <w:footnote w:id="8">
    <w:p w14:paraId="3C917B4C" w14:textId="77777777" w:rsidR="00ED6F1E" w:rsidRDefault="00ED6F1E" w:rsidP="00D12168">
      <w:pPr>
        <w:pStyle w:val="FootnoteText"/>
      </w:pPr>
      <w:r>
        <w:rPr>
          <w:rStyle w:val="FootnoteReference"/>
        </w:rPr>
        <w:footnoteRef/>
      </w:r>
      <w:r>
        <w:t xml:space="preserve"> The third explanatory current </w:t>
      </w:r>
      <w:r>
        <w:rPr>
          <w:rFonts w:ascii="Sabon-Roman" w:hAnsi="Sabon-Roman" w:cs="Sabon-Roman"/>
          <w:szCs w:val="24"/>
        </w:rPr>
        <w:t>springs from constructivist international relations, and emphasizes the agency of exceptional actors, and the influence of perceptions, norms, and subjective constructions of reality.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wMrM0sTQ3MTKxsDRT0lEKTi0uzszPAykwrAUAc+DcWiwAAAA="/>
  </w:docVars>
  <w:rsids>
    <w:rsidRoot w:val="00F02645"/>
    <w:rsid w:val="000156DC"/>
    <w:rsid w:val="0002708F"/>
    <w:rsid w:val="00071C1E"/>
    <w:rsid w:val="000737E9"/>
    <w:rsid w:val="000A575D"/>
    <w:rsid w:val="000C39BF"/>
    <w:rsid w:val="000C52C8"/>
    <w:rsid w:val="000E6744"/>
    <w:rsid w:val="000F1262"/>
    <w:rsid w:val="000F75F9"/>
    <w:rsid w:val="00106053"/>
    <w:rsid w:val="00140196"/>
    <w:rsid w:val="001449BB"/>
    <w:rsid w:val="00165F19"/>
    <w:rsid w:val="00190036"/>
    <w:rsid w:val="001A3E95"/>
    <w:rsid w:val="001B76CD"/>
    <w:rsid w:val="001B7C19"/>
    <w:rsid w:val="001C1F0F"/>
    <w:rsid w:val="001C53BF"/>
    <w:rsid w:val="001D07C0"/>
    <w:rsid w:val="001D7A6C"/>
    <w:rsid w:val="001E2A57"/>
    <w:rsid w:val="001F4E88"/>
    <w:rsid w:val="001F7E39"/>
    <w:rsid w:val="00202804"/>
    <w:rsid w:val="00225AC6"/>
    <w:rsid w:val="002A732E"/>
    <w:rsid w:val="002C5CD4"/>
    <w:rsid w:val="0030197A"/>
    <w:rsid w:val="003025AB"/>
    <w:rsid w:val="00333718"/>
    <w:rsid w:val="00334E91"/>
    <w:rsid w:val="00361180"/>
    <w:rsid w:val="003642F9"/>
    <w:rsid w:val="00376E26"/>
    <w:rsid w:val="003855FF"/>
    <w:rsid w:val="00391CE8"/>
    <w:rsid w:val="003B030C"/>
    <w:rsid w:val="003C6B6D"/>
    <w:rsid w:val="003D55B1"/>
    <w:rsid w:val="003E68E1"/>
    <w:rsid w:val="003F222B"/>
    <w:rsid w:val="004141F0"/>
    <w:rsid w:val="0041719B"/>
    <w:rsid w:val="00437321"/>
    <w:rsid w:val="00446F38"/>
    <w:rsid w:val="00473717"/>
    <w:rsid w:val="004768B1"/>
    <w:rsid w:val="00487B10"/>
    <w:rsid w:val="004903F4"/>
    <w:rsid w:val="004948B2"/>
    <w:rsid w:val="0049521E"/>
    <w:rsid w:val="00497CBA"/>
    <w:rsid w:val="004B5A25"/>
    <w:rsid w:val="004B63EC"/>
    <w:rsid w:val="004C088F"/>
    <w:rsid w:val="004F0AB7"/>
    <w:rsid w:val="004F3A99"/>
    <w:rsid w:val="005008DC"/>
    <w:rsid w:val="005074EB"/>
    <w:rsid w:val="00525C39"/>
    <w:rsid w:val="00526874"/>
    <w:rsid w:val="00535CD9"/>
    <w:rsid w:val="00536399"/>
    <w:rsid w:val="00561F7E"/>
    <w:rsid w:val="00581EAE"/>
    <w:rsid w:val="005905C4"/>
    <w:rsid w:val="00594831"/>
    <w:rsid w:val="00597746"/>
    <w:rsid w:val="005A3D9F"/>
    <w:rsid w:val="005B199C"/>
    <w:rsid w:val="005B6093"/>
    <w:rsid w:val="005D7F0A"/>
    <w:rsid w:val="005E7EFC"/>
    <w:rsid w:val="005F7BD4"/>
    <w:rsid w:val="006135D7"/>
    <w:rsid w:val="00623C93"/>
    <w:rsid w:val="00633EAE"/>
    <w:rsid w:val="00636283"/>
    <w:rsid w:val="00680926"/>
    <w:rsid w:val="006A0902"/>
    <w:rsid w:val="006A38AD"/>
    <w:rsid w:val="006A5D11"/>
    <w:rsid w:val="006A6785"/>
    <w:rsid w:val="006A730D"/>
    <w:rsid w:val="006B14C7"/>
    <w:rsid w:val="006C1E5C"/>
    <w:rsid w:val="006C50EE"/>
    <w:rsid w:val="006F3102"/>
    <w:rsid w:val="006F433B"/>
    <w:rsid w:val="0071110C"/>
    <w:rsid w:val="00740251"/>
    <w:rsid w:val="00764AFF"/>
    <w:rsid w:val="0079712A"/>
    <w:rsid w:val="007A1CF8"/>
    <w:rsid w:val="007B041D"/>
    <w:rsid w:val="007D12BF"/>
    <w:rsid w:val="007E69AB"/>
    <w:rsid w:val="007F48B5"/>
    <w:rsid w:val="007F7CC4"/>
    <w:rsid w:val="008016F7"/>
    <w:rsid w:val="0081090C"/>
    <w:rsid w:val="00813FE6"/>
    <w:rsid w:val="0082694C"/>
    <w:rsid w:val="008319F3"/>
    <w:rsid w:val="008377FD"/>
    <w:rsid w:val="00844087"/>
    <w:rsid w:val="008452C5"/>
    <w:rsid w:val="008500A3"/>
    <w:rsid w:val="00856CAB"/>
    <w:rsid w:val="00891CA3"/>
    <w:rsid w:val="00893624"/>
    <w:rsid w:val="008B0551"/>
    <w:rsid w:val="008B41BA"/>
    <w:rsid w:val="008B5BF4"/>
    <w:rsid w:val="008D6B3E"/>
    <w:rsid w:val="009079FA"/>
    <w:rsid w:val="00920983"/>
    <w:rsid w:val="00923C70"/>
    <w:rsid w:val="009547A8"/>
    <w:rsid w:val="0096767F"/>
    <w:rsid w:val="00970B1F"/>
    <w:rsid w:val="009832BF"/>
    <w:rsid w:val="00985DAB"/>
    <w:rsid w:val="00991D17"/>
    <w:rsid w:val="009A6EA4"/>
    <w:rsid w:val="009C7010"/>
    <w:rsid w:val="009F0BF5"/>
    <w:rsid w:val="00A03D99"/>
    <w:rsid w:val="00A12AB2"/>
    <w:rsid w:val="00A14346"/>
    <w:rsid w:val="00A14461"/>
    <w:rsid w:val="00A476BF"/>
    <w:rsid w:val="00A73AC1"/>
    <w:rsid w:val="00A82CE7"/>
    <w:rsid w:val="00A848B5"/>
    <w:rsid w:val="00AC16EB"/>
    <w:rsid w:val="00AF32C7"/>
    <w:rsid w:val="00AF6466"/>
    <w:rsid w:val="00AF7873"/>
    <w:rsid w:val="00B02948"/>
    <w:rsid w:val="00B37132"/>
    <w:rsid w:val="00B4019F"/>
    <w:rsid w:val="00B4217E"/>
    <w:rsid w:val="00B93421"/>
    <w:rsid w:val="00B935B4"/>
    <w:rsid w:val="00BC01DD"/>
    <w:rsid w:val="00BD087C"/>
    <w:rsid w:val="00BD655E"/>
    <w:rsid w:val="00BE7275"/>
    <w:rsid w:val="00BE7DEA"/>
    <w:rsid w:val="00BF2688"/>
    <w:rsid w:val="00C04E03"/>
    <w:rsid w:val="00C32B5D"/>
    <w:rsid w:val="00C61485"/>
    <w:rsid w:val="00C927AC"/>
    <w:rsid w:val="00CC6DA4"/>
    <w:rsid w:val="00CE1295"/>
    <w:rsid w:val="00CF0F79"/>
    <w:rsid w:val="00CF122F"/>
    <w:rsid w:val="00D12168"/>
    <w:rsid w:val="00D27119"/>
    <w:rsid w:val="00D27B23"/>
    <w:rsid w:val="00D539F3"/>
    <w:rsid w:val="00DA73D3"/>
    <w:rsid w:val="00DB6567"/>
    <w:rsid w:val="00DF5E14"/>
    <w:rsid w:val="00E02CB3"/>
    <w:rsid w:val="00E03F79"/>
    <w:rsid w:val="00E05062"/>
    <w:rsid w:val="00E141FB"/>
    <w:rsid w:val="00E17189"/>
    <w:rsid w:val="00E457EC"/>
    <w:rsid w:val="00E462CE"/>
    <w:rsid w:val="00E52B4D"/>
    <w:rsid w:val="00E6257C"/>
    <w:rsid w:val="00E665C7"/>
    <w:rsid w:val="00EC20FF"/>
    <w:rsid w:val="00EC4E78"/>
    <w:rsid w:val="00EC56E2"/>
    <w:rsid w:val="00ED6F1E"/>
    <w:rsid w:val="00F02645"/>
    <w:rsid w:val="00F15059"/>
    <w:rsid w:val="00F16AE3"/>
    <w:rsid w:val="00F25F7E"/>
    <w:rsid w:val="00F32AC0"/>
    <w:rsid w:val="00F41E12"/>
    <w:rsid w:val="00F45415"/>
    <w:rsid w:val="00F6674C"/>
    <w:rsid w:val="00F72246"/>
    <w:rsid w:val="00F7613E"/>
    <w:rsid w:val="00F81AC2"/>
    <w:rsid w:val="00F931A4"/>
    <w:rsid w:val="00FA7116"/>
    <w:rsid w:val="00FA79C4"/>
    <w:rsid w:val="00FC1E3C"/>
    <w:rsid w:val="00FC2B05"/>
    <w:rsid w:val="00FC5D4F"/>
    <w:rsid w:val="00FD7DCB"/>
    <w:rsid w:val="00FF3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CE9B"/>
  <w15:chartTrackingRefBased/>
  <w15:docId w15:val="{1F3EF375-A7A6-414F-A36D-B43E4F23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B63EC"/>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w:basedOn w:val="Normal"/>
    <w:link w:val="FootnoteTextChar"/>
    <w:unhideWhenUsed/>
    <w:rsid w:val="003C6B6D"/>
    <w:rPr>
      <w:sz w:val="20"/>
      <w:szCs w:val="20"/>
    </w:rPr>
  </w:style>
  <w:style w:type="character" w:customStyle="1" w:styleId="FootnoteTextChar">
    <w:name w:val="Footnote Text Char"/>
    <w:aliases w:val="Char Char"/>
    <w:basedOn w:val="DefaultParagraphFont"/>
    <w:link w:val="FootnoteText"/>
    <w:rsid w:val="003C6B6D"/>
    <w:rPr>
      <w:sz w:val="20"/>
      <w:szCs w:val="20"/>
    </w:rPr>
  </w:style>
  <w:style w:type="character" w:styleId="FootnoteReference">
    <w:name w:val="footnote reference"/>
    <w:basedOn w:val="DefaultParagraphFont"/>
    <w:uiPriority w:val="99"/>
    <w:semiHidden/>
    <w:unhideWhenUsed/>
    <w:rsid w:val="003C6B6D"/>
    <w:rPr>
      <w:vertAlign w:val="superscript"/>
    </w:rPr>
  </w:style>
  <w:style w:type="character" w:styleId="CommentReference">
    <w:name w:val="annotation reference"/>
    <w:basedOn w:val="DefaultParagraphFont"/>
    <w:uiPriority w:val="99"/>
    <w:semiHidden/>
    <w:unhideWhenUsed/>
    <w:rsid w:val="00FA7116"/>
    <w:rPr>
      <w:sz w:val="16"/>
      <w:szCs w:val="16"/>
    </w:rPr>
  </w:style>
  <w:style w:type="paragraph" w:styleId="CommentText">
    <w:name w:val="annotation text"/>
    <w:basedOn w:val="Normal"/>
    <w:link w:val="CommentTextChar"/>
    <w:uiPriority w:val="99"/>
    <w:semiHidden/>
    <w:unhideWhenUsed/>
    <w:rsid w:val="00FA7116"/>
    <w:rPr>
      <w:sz w:val="20"/>
      <w:szCs w:val="20"/>
    </w:rPr>
  </w:style>
  <w:style w:type="character" w:customStyle="1" w:styleId="CommentTextChar">
    <w:name w:val="Comment Text Char"/>
    <w:basedOn w:val="DefaultParagraphFont"/>
    <w:link w:val="CommentText"/>
    <w:uiPriority w:val="99"/>
    <w:semiHidden/>
    <w:rsid w:val="00FA7116"/>
    <w:rPr>
      <w:sz w:val="20"/>
      <w:szCs w:val="20"/>
    </w:rPr>
  </w:style>
  <w:style w:type="paragraph" w:styleId="CommentSubject">
    <w:name w:val="annotation subject"/>
    <w:basedOn w:val="CommentText"/>
    <w:next w:val="CommentText"/>
    <w:link w:val="CommentSubjectChar"/>
    <w:uiPriority w:val="99"/>
    <w:semiHidden/>
    <w:unhideWhenUsed/>
    <w:rsid w:val="00FA7116"/>
    <w:rPr>
      <w:b/>
      <w:bCs/>
    </w:rPr>
  </w:style>
  <w:style w:type="character" w:customStyle="1" w:styleId="CommentSubjectChar">
    <w:name w:val="Comment Subject Char"/>
    <w:basedOn w:val="CommentTextChar"/>
    <w:link w:val="CommentSubject"/>
    <w:uiPriority w:val="99"/>
    <w:semiHidden/>
    <w:rsid w:val="00FA7116"/>
    <w:rPr>
      <w:b/>
      <w:bCs/>
      <w:sz w:val="20"/>
      <w:szCs w:val="20"/>
    </w:rPr>
  </w:style>
  <w:style w:type="paragraph" w:styleId="BalloonText">
    <w:name w:val="Balloon Text"/>
    <w:basedOn w:val="Normal"/>
    <w:link w:val="BalloonTextChar"/>
    <w:uiPriority w:val="99"/>
    <w:semiHidden/>
    <w:unhideWhenUsed/>
    <w:rsid w:val="00FA7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116"/>
    <w:rPr>
      <w:rFonts w:ascii="Segoe UI" w:hAnsi="Segoe UI" w:cs="Segoe UI"/>
      <w:sz w:val="18"/>
      <w:szCs w:val="18"/>
    </w:rPr>
  </w:style>
  <w:style w:type="character" w:customStyle="1" w:styleId="Heading1Char">
    <w:name w:val="Heading 1 Char"/>
    <w:basedOn w:val="DefaultParagraphFont"/>
    <w:link w:val="Heading1"/>
    <w:uiPriority w:val="9"/>
    <w:rsid w:val="004B63EC"/>
    <w:rPr>
      <w:rFonts w:eastAsia="Times New Roman" w:cs="Times New Roman"/>
      <w:b/>
      <w:bCs/>
      <w:kern w:val="36"/>
      <w:sz w:val="48"/>
      <w:szCs w:val="48"/>
    </w:rPr>
  </w:style>
  <w:style w:type="character" w:styleId="Hyperlink">
    <w:name w:val="Hyperlink"/>
    <w:basedOn w:val="DefaultParagraphFont"/>
    <w:uiPriority w:val="99"/>
    <w:unhideWhenUsed/>
    <w:rsid w:val="004B63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hodes@ucema.edu.ar"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leslie.armij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lobalpolicyjournal.com/blog/07/04/2020/why-experts-disagree-how-manage-covid-19-four-problem-conceptions-not-one" TargetMode="External"/><Relationship Id="rId4" Type="http://schemas.openxmlformats.org/officeDocument/2006/relationships/webSettings" Target="webSettings.xml"/><Relationship Id="rId9" Type="http://schemas.openxmlformats.org/officeDocument/2006/relationships/hyperlink" Target="mailto:m.fraundorfer@leeds.ac.uk"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7FA12-961C-45FD-8FAA-87F5339B2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3657</Words>
  <Characters>20849</Characters>
  <Application>Microsoft Office Word</Application>
  <DocSecurity>0</DocSecurity>
  <Lines>173</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Elliott</dc:creator>
  <cp:keywords/>
  <dc:description/>
  <cp:lastModifiedBy>Leslie Elliott</cp:lastModifiedBy>
  <cp:revision>2</cp:revision>
  <dcterms:created xsi:type="dcterms:W3CDTF">2020-05-19T20:02:00Z</dcterms:created>
  <dcterms:modified xsi:type="dcterms:W3CDTF">2020-05-19T20:02:00Z</dcterms:modified>
</cp:coreProperties>
</file>